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8A79">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600935</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华塑股份</w:t>
      </w:r>
    </w:p>
    <w:p w14:paraId="3A6AEB8C">
      <w:pPr>
        <w:jc w:val="center"/>
        <w:rPr>
          <w:rFonts w:hint="eastAsia" w:ascii="黑体" w:hAnsi="黑体" w:eastAsia="黑体"/>
          <w:sz w:val="36"/>
          <w:szCs w:val="36"/>
        </w:rPr>
      </w:pPr>
      <w:r>
        <w:rPr>
          <w:rFonts w:hint="eastAsia" w:ascii="黑体" w:hAnsi="黑体" w:eastAsia="黑体"/>
          <w:sz w:val="36"/>
          <w:szCs w:val="36"/>
        </w:rPr>
        <w:t>安徽华塑股份有限公司</w:t>
      </w:r>
    </w:p>
    <w:p w14:paraId="6305AB68">
      <w:pPr>
        <w:jc w:val="center"/>
        <w:rPr>
          <w:rFonts w:ascii="黑体" w:hAnsi="黑体" w:eastAsia="黑体"/>
          <w:sz w:val="36"/>
          <w:szCs w:val="36"/>
        </w:rPr>
      </w:pPr>
      <w:r>
        <w:rPr>
          <w:rFonts w:hint="eastAsia" w:ascii="黑体" w:hAnsi="黑体" w:eastAsia="黑体"/>
          <w:sz w:val="36"/>
          <w:szCs w:val="36"/>
        </w:rPr>
        <w:t>投资者关系活动记录表</w:t>
      </w:r>
    </w:p>
    <w:p w14:paraId="754B2EDB">
      <w:pPr>
        <w:jc w:val="center"/>
        <w:rPr>
          <w:rFonts w:ascii="黑体" w:hAnsi="黑体" w:eastAsia="黑体"/>
          <w:sz w:val="24"/>
          <w:szCs w:val="24"/>
        </w:rPr>
      </w:pPr>
    </w:p>
    <w:p w14:paraId="7CA2A7E3">
      <w:pPr>
        <w:ind w:right="720"/>
        <w:jc w:val="right"/>
        <w:rPr>
          <w:rFonts w:hint="eastAsia" w:ascii="黑体" w:hAnsi="黑体" w:eastAsia="黑体"/>
          <w:sz w:val="24"/>
          <w:szCs w:val="24"/>
          <w:lang w:val="en-US" w:eastAsia="zh-CN"/>
        </w:rPr>
      </w:pPr>
      <w:r>
        <w:rPr>
          <w:rFonts w:hint="eastAsia" w:ascii="黑体" w:hAnsi="黑体" w:eastAsia="黑体"/>
          <w:sz w:val="24"/>
          <w:szCs w:val="24"/>
        </w:rPr>
        <w:t>编号2025-00</w:t>
      </w:r>
      <w:r>
        <w:rPr>
          <w:rFonts w:hint="eastAsia" w:ascii="黑体" w:hAnsi="黑体" w:eastAsia="黑体"/>
          <w:sz w:val="24"/>
          <w:szCs w:val="24"/>
          <w:lang w:val="en-US" w:eastAsia="zh-CN"/>
        </w:rPr>
        <w:t>3</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7CE5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C4026D0">
            <w:pPr>
              <w:rPr>
                <w:sz w:val="24"/>
                <w:szCs w:val="24"/>
              </w:rPr>
            </w:pPr>
            <w:r>
              <w:rPr>
                <w:rFonts w:hint="eastAsia"/>
                <w:sz w:val="24"/>
                <w:szCs w:val="24"/>
              </w:rPr>
              <w:t>投资者关系活动类别</w:t>
            </w:r>
          </w:p>
        </w:tc>
        <w:tc>
          <w:tcPr>
            <w:tcW w:w="7191" w:type="dxa"/>
            <w:noWrap w:val="0"/>
            <w:vAlign w:val="center"/>
          </w:tcPr>
          <w:p w14:paraId="24FD36FF">
            <w:pPr>
              <w:spacing w:line="360" w:lineRule="auto"/>
              <w:rPr>
                <w:rFonts w:hint="eastAsia"/>
                <w:sz w:val="24"/>
                <w:szCs w:val="24"/>
              </w:rPr>
            </w:pPr>
            <w:r>
              <w:rPr>
                <w:rFonts w:hint="eastAsia" w:ascii="宋体" w:hAnsi="宋体" w:eastAsia="宋体" w:cs="宋体"/>
                <w:sz w:val="24"/>
                <w:szCs w:val="24"/>
                <w:highlight w:val="none"/>
              </w:rPr>
              <w:t>业绩说明会</w:t>
            </w:r>
          </w:p>
        </w:tc>
      </w:tr>
      <w:tr w14:paraId="57807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0A032A50">
            <w:pPr>
              <w:rPr>
                <w:sz w:val="24"/>
                <w:szCs w:val="24"/>
              </w:rPr>
            </w:pPr>
            <w:r>
              <w:rPr>
                <w:rFonts w:hint="eastAsia"/>
                <w:sz w:val="24"/>
                <w:szCs w:val="24"/>
              </w:rPr>
              <w:t>活动主题</w:t>
            </w:r>
          </w:p>
        </w:tc>
        <w:tc>
          <w:tcPr>
            <w:tcW w:w="7191" w:type="dxa"/>
            <w:noWrap w:val="0"/>
            <w:vAlign w:val="center"/>
          </w:tcPr>
          <w:p w14:paraId="50F99D48">
            <w:pPr>
              <w:rPr>
                <w:sz w:val="24"/>
                <w:szCs w:val="24"/>
              </w:rPr>
            </w:pPr>
            <w:r>
              <w:rPr>
                <w:rFonts w:hint="eastAsia" w:ascii="宋体" w:hAnsi="宋体" w:eastAsia="宋体" w:cs="宋体"/>
                <w:bCs/>
                <w:iCs/>
                <w:color w:val="000000"/>
                <w:sz w:val="24"/>
                <w:highlight w:val="none"/>
                <w:lang w:val="en-GB"/>
              </w:rPr>
              <w:t>华塑股份2025年半年度业绩说明会</w:t>
            </w:r>
          </w:p>
        </w:tc>
      </w:tr>
      <w:tr w14:paraId="522C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3BAF77B7">
            <w:pPr>
              <w:rPr>
                <w:sz w:val="24"/>
                <w:szCs w:val="24"/>
              </w:rPr>
            </w:pPr>
            <w:r>
              <w:rPr>
                <w:rFonts w:hint="eastAsia"/>
                <w:sz w:val="24"/>
                <w:szCs w:val="24"/>
              </w:rPr>
              <w:t>时间</w:t>
            </w:r>
          </w:p>
        </w:tc>
        <w:tc>
          <w:tcPr>
            <w:tcW w:w="7191" w:type="dxa"/>
            <w:noWrap w:val="0"/>
            <w:vAlign w:val="center"/>
          </w:tcPr>
          <w:p w14:paraId="6097AB09">
            <w:pPr>
              <w:rPr>
                <w:rFonts w:hint="eastAsia"/>
                <w:sz w:val="24"/>
                <w:szCs w:val="24"/>
              </w:rPr>
            </w:pPr>
            <w:r>
              <w:rPr>
                <w:rFonts w:hint="eastAsia" w:ascii="宋体" w:hAnsi="宋体" w:eastAsia="宋体" w:cs="宋体"/>
                <w:bCs/>
                <w:iCs/>
                <w:color w:val="000000"/>
                <w:sz w:val="24"/>
                <w:highlight w:val="none"/>
              </w:rPr>
              <w:t>2025</w:t>
            </w:r>
            <w:r>
              <w:rPr>
                <w:rFonts w:hint="eastAsia" w:ascii="宋体" w:hAnsi="宋体" w:cs="宋体"/>
                <w:bCs/>
                <w:iCs/>
                <w:color w:val="000000"/>
                <w:sz w:val="24"/>
                <w:highlight w:val="none"/>
                <w:lang w:val="en-US" w:eastAsia="zh-CN"/>
              </w:rPr>
              <w:t>年</w:t>
            </w:r>
            <w:r>
              <w:rPr>
                <w:rFonts w:hint="eastAsia" w:ascii="宋体" w:hAnsi="宋体" w:eastAsia="宋体" w:cs="宋体"/>
                <w:bCs/>
                <w:iCs/>
                <w:color w:val="000000"/>
                <w:sz w:val="24"/>
                <w:highlight w:val="none"/>
              </w:rPr>
              <w:t>8</w:t>
            </w:r>
            <w:r>
              <w:rPr>
                <w:rFonts w:hint="eastAsia" w:ascii="宋体" w:hAnsi="宋体" w:cs="宋体"/>
                <w:bCs/>
                <w:iCs/>
                <w:color w:val="000000"/>
                <w:sz w:val="24"/>
                <w:highlight w:val="none"/>
                <w:lang w:val="en-US" w:eastAsia="zh-CN"/>
              </w:rPr>
              <w:t>月</w:t>
            </w:r>
            <w:r>
              <w:rPr>
                <w:rFonts w:hint="eastAsia" w:ascii="宋体" w:hAnsi="宋体" w:eastAsia="宋体" w:cs="宋体"/>
                <w:bCs/>
                <w:iCs/>
                <w:color w:val="000000"/>
                <w:sz w:val="24"/>
                <w:highlight w:val="none"/>
              </w:rPr>
              <w:t>26</w:t>
            </w:r>
            <w:r>
              <w:rPr>
                <w:rFonts w:hint="eastAsia" w:ascii="宋体" w:hAnsi="宋体" w:cs="宋体"/>
                <w:bCs/>
                <w:iCs/>
                <w:color w:val="000000"/>
                <w:sz w:val="24"/>
                <w:highlight w:val="none"/>
                <w:lang w:val="en-US" w:eastAsia="zh-CN"/>
              </w:rPr>
              <w:t xml:space="preserve">日     </w:t>
            </w:r>
            <w:r>
              <w:rPr>
                <w:rFonts w:hint="eastAsia" w:ascii="宋体" w:hAnsi="宋体" w:eastAsia="宋体" w:cs="宋体"/>
                <w:bCs/>
                <w:iCs/>
                <w:color w:val="000000"/>
                <w:sz w:val="24"/>
                <w:highlight w:val="none"/>
              </w:rPr>
              <w:t>15:00-16:00</w:t>
            </w:r>
          </w:p>
        </w:tc>
      </w:tr>
      <w:tr w14:paraId="758B7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3FD2CC3">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5D32D682">
            <w:pP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7551374F">
            <w:pPr>
              <w:rPr>
                <w:rFonts w:hint="eastAsia"/>
                <w:sz w:val="24"/>
                <w:szCs w:val="24"/>
              </w:rPr>
            </w:pPr>
            <w:r>
              <w:rPr>
                <w:rFonts w:hint="eastAsia" w:ascii="宋体" w:hAnsi="宋体"/>
                <w:bCs/>
                <w:sz w:val="24"/>
              </w:rPr>
              <w:t>网络文字互动</w:t>
            </w:r>
          </w:p>
        </w:tc>
      </w:tr>
      <w:tr w14:paraId="6738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071396EC">
            <w:pPr>
              <w:rPr>
                <w:sz w:val="24"/>
                <w:szCs w:val="24"/>
              </w:rPr>
            </w:pPr>
            <w:r>
              <w:rPr>
                <w:rFonts w:hint="eastAsia"/>
                <w:sz w:val="24"/>
                <w:szCs w:val="24"/>
              </w:rPr>
              <w:t>参会人员</w:t>
            </w:r>
          </w:p>
        </w:tc>
        <w:tc>
          <w:tcPr>
            <w:tcW w:w="7191" w:type="dxa"/>
            <w:noWrap w:val="0"/>
            <w:vAlign w:val="center"/>
          </w:tcPr>
          <w:p w14:paraId="5A4C6B1C">
            <w:pPr>
              <w:spacing w:line="360" w:lineRule="auto"/>
              <w:rPr>
                <w:rFonts w:hint="eastAsia"/>
                <w:sz w:val="24"/>
                <w:szCs w:val="24"/>
              </w:rPr>
            </w:pPr>
            <w:r>
              <w:rPr>
                <w:rFonts w:hint="eastAsia" w:ascii="宋体" w:hAnsi="宋体" w:eastAsia="宋体" w:cs="宋体"/>
                <w:sz w:val="24"/>
                <w:szCs w:val="24"/>
              </w:rPr>
              <w:t>董事长：路明</w:t>
            </w:r>
            <w:r>
              <w:rPr>
                <w:rFonts w:hint="eastAsia" w:ascii="宋体" w:hAnsi="宋体" w:cs="宋体"/>
                <w:sz w:val="24"/>
                <w:szCs w:val="24"/>
                <w:lang w:eastAsia="zh-CN"/>
              </w:rPr>
              <w:t>；</w:t>
            </w:r>
            <w:r>
              <w:rPr>
                <w:rFonts w:hint="eastAsia" w:ascii="宋体" w:hAnsi="宋体" w:eastAsia="宋体" w:cs="宋体"/>
                <w:sz w:val="24"/>
                <w:szCs w:val="24"/>
              </w:rPr>
              <w:t>财务总监、董事会秘书：毕刚</w:t>
            </w:r>
            <w:r>
              <w:rPr>
                <w:rFonts w:hint="eastAsia" w:ascii="宋体" w:hAnsi="宋体" w:cs="宋体"/>
                <w:sz w:val="24"/>
                <w:szCs w:val="24"/>
                <w:lang w:eastAsia="zh-CN"/>
              </w:rPr>
              <w:t>；</w:t>
            </w:r>
            <w:r>
              <w:rPr>
                <w:rFonts w:hint="eastAsia" w:ascii="宋体" w:hAnsi="宋体" w:eastAsia="宋体" w:cs="宋体"/>
                <w:sz w:val="24"/>
                <w:szCs w:val="24"/>
              </w:rPr>
              <w:t>独立董事：黄伟新</w:t>
            </w:r>
          </w:p>
        </w:tc>
      </w:tr>
      <w:tr w14:paraId="43944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340ADB65">
            <w:pPr>
              <w:rPr>
                <w:sz w:val="24"/>
                <w:szCs w:val="24"/>
              </w:rPr>
            </w:pPr>
            <w:r>
              <w:rPr>
                <w:rFonts w:hint="eastAsia"/>
                <w:sz w:val="24"/>
                <w:szCs w:val="24"/>
              </w:rPr>
              <w:t>投资者关系活动主要内容介绍</w:t>
            </w:r>
          </w:p>
        </w:tc>
        <w:tc>
          <w:tcPr>
            <w:tcW w:w="7191" w:type="dxa"/>
            <w:noWrap w:val="0"/>
            <w:vAlign w:val="top"/>
          </w:tcPr>
          <w:p w14:paraId="0195589A">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4D9782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b/>
                <w:bCs/>
                <w:sz w:val="24"/>
                <w:lang w:val="en-US"/>
              </w:rPr>
            </w:pPr>
            <w:r>
              <w:rPr>
                <w:rFonts w:hint="default" w:ascii="宋体"/>
                <w:b/>
                <w:bCs/>
                <w:sz w:val="24"/>
                <w:lang w:val="en-US"/>
              </w:rPr>
              <w:t>1、从半年报可知，公司营业收入较上年同期减少1.51亿元，降幅达6.46%，核心业务PVC、烧碱等产品受市场需求及价格波动影响明显。面对中美贸易关系恶化、楼市政策调整及环保限产等导致的氯碱需求 “东降西升” 格局，公司在拓展东部沿海市场方面有哪些具体策略来应对需求增速放缓的问题？未来打算如何挖掘西部地区的市场潜力，以弥补东部市场的下滑，实现营收的稳定或增长？</w:t>
            </w:r>
          </w:p>
          <w:p w14:paraId="20973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b/>
                <w:bCs/>
                <w:sz w:val="24"/>
                <w:lang w:val="en-US"/>
              </w:rPr>
            </w:pPr>
            <w:r>
              <w:rPr>
                <w:rFonts w:hint="default" w:ascii="宋体"/>
                <w:sz w:val="24"/>
                <w:lang w:val="en-US"/>
              </w:rPr>
              <w:t>尊敬的投资者，您好。公司具有区位优势，主要客户集中在东南部，全年产销基本平衡。面对氯碱行业持续低迷和东部需求增速放缓，公司将继续推进5个方面23项举措的降本增效实施方案，且注重提升产品价值和开拓新应用领域，重点推广PVC、烧碱等差异化产品，满足东部高端制造业和精细化工业的需求。尽管东部需求增速放缓，但存量市场依然巨大。未来，公司将重点关注西部地区承接东部产业转移带来的机会，配套提供氯碱产品，嵌入区域产业链，将挖掘西部地区市场潜力，抢占增量空间，促进公司高质量发展。</w:t>
            </w:r>
          </w:p>
          <w:p w14:paraId="7325EB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b/>
                <w:bCs/>
                <w:sz w:val="24"/>
                <w:lang w:val="en-US"/>
              </w:rPr>
            </w:pPr>
            <w:r>
              <w:rPr>
                <w:rFonts w:hint="default" w:ascii="宋体"/>
                <w:b/>
                <w:bCs/>
                <w:sz w:val="24"/>
                <w:lang w:val="en-US"/>
              </w:rPr>
              <w:t>2、请介绍下公司限制募集资金的情况，谢谢</w:t>
            </w:r>
          </w:p>
          <w:p w14:paraId="0731746C">
            <w:pPr>
              <w:spacing w:line="460" w:lineRule="auto"/>
              <w:ind w:firstLine="480" w:firstLineChars="200"/>
              <w:rPr>
                <w:rFonts w:hint="default" w:ascii="宋体"/>
                <w:sz w:val="24"/>
                <w:lang w:val="en-US"/>
              </w:rPr>
            </w:pPr>
            <w:r>
              <w:rPr>
                <w:rFonts w:hint="default" w:ascii="宋体"/>
                <w:sz w:val="24"/>
                <w:lang w:val="en-US"/>
              </w:rPr>
              <w:t>尊敬的投资者，您好。公司于2024年9月5日，分别召开第五届董事会第二十二次会议、第五届监事会第十九次会议，审议通过《关于使用部分闲置募集资金暂时补充流动资金的议案》，同意公司使用部分闲置募集资金暂时补充流动资金的金额合计不超过人民币3.70亿元,使用期限自第五届董事会第二十二次会议审议通过之日起不超过12个月。</w:t>
            </w:r>
            <w:bookmarkStart w:id="0" w:name="_GoBack"/>
            <w:bookmarkEnd w:id="0"/>
            <w:r>
              <w:rPr>
                <w:rFonts w:hint="default" w:ascii="宋体"/>
                <w:sz w:val="24"/>
                <w:lang w:val="en-US"/>
              </w:rPr>
              <w:t>截至2025年6月30日，本公司闲置募集资金暂时补充流动资金款项共计人民币32,131.51万元。</w:t>
            </w:r>
          </w:p>
          <w:p w14:paraId="0FA89C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b/>
                <w:bCs/>
                <w:sz w:val="24"/>
                <w:lang w:val="en-US"/>
              </w:rPr>
            </w:pPr>
            <w:r>
              <w:rPr>
                <w:rFonts w:hint="default" w:ascii="宋体"/>
                <w:b/>
                <w:bCs/>
                <w:sz w:val="24"/>
                <w:lang w:val="en-US"/>
              </w:rPr>
              <w:t>3、可以聊一下公司资源与能源方面的优势吗?</w:t>
            </w:r>
          </w:p>
          <w:p w14:paraId="2A344CB2">
            <w:pPr>
              <w:spacing w:line="460" w:lineRule="auto"/>
              <w:ind w:firstLine="480" w:firstLineChars="200"/>
              <w:rPr>
                <w:rFonts w:hint="default" w:ascii="宋体"/>
                <w:sz w:val="24"/>
                <w:lang w:val="en-US"/>
              </w:rPr>
            </w:pPr>
            <w:r>
              <w:rPr>
                <w:rFonts w:hint="default" w:ascii="宋体"/>
                <w:sz w:val="24"/>
                <w:lang w:val="en-US"/>
              </w:rPr>
              <w:t>尊敬的投资者，您好。公司依托自有盐矿、电石灰岩矿等核心矿产资源，构建了稳定的上游原料供应体系，确保长期可持续发展。同时，公司地处“两淮”煤炭富集区，可高效利用当地丰富的煤炭资源，降低原材料采购及运输成本。此外，公司自建热电联产系统，不仅保障了生产所需的稳定能源供应，还显著降低了动力成本，形成“资源+能源”双重保障，增强了抗市场波动能力。</w:t>
            </w:r>
          </w:p>
          <w:p w14:paraId="305825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b/>
                <w:bCs/>
                <w:sz w:val="24"/>
                <w:lang w:val="en-US"/>
              </w:rPr>
            </w:pPr>
            <w:r>
              <w:rPr>
                <w:rFonts w:hint="default" w:ascii="宋体"/>
                <w:b/>
                <w:bCs/>
                <w:sz w:val="24"/>
                <w:lang w:val="en-US"/>
              </w:rPr>
              <w:t>4、上半年公司财务费用大增 454.24%，后续打算怎么降本？</w:t>
            </w:r>
          </w:p>
          <w:p w14:paraId="040B8693">
            <w:pPr>
              <w:spacing w:line="460" w:lineRule="auto"/>
              <w:ind w:firstLine="480" w:firstLineChars="200"/>
              <w:rPr>
                <w:rFonts w:hint="default" w:ascii="宋体"/>
                <w:sz w:val="24"/>
                <w:lang w:val="en-US"/>
              </w:rPr>
            </w:pPr>
            <w:r>
              <w:rPr>
                <w:rFonts w:hint="default" w:ascii="宋体"/>
                <w:sz w:val="24"/>
                <w:lang w:val="en-US"/>
              </w:rPr>
              <w:t>尊敬的投资者，您好。公司上半年度财务费用增长的主要原因系部分项目贷款费用化，随着借款逐步归还，该部分费用会逐步降低。</w:t>
            </w:r>
          </w:p>
          <w:p w14:paraId="5E2ABE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b/>
                <w:bCs/>
                <w:sz w:val="24"/>
                <w:lang w:val="en-US"/>
              </w:rPr>
            </w:pPr>
            <w:r>
              <w:rPr>
                <w:rFonts w:hint="default" w:ascii="宋体"/>
                <w:b/>
                <w:bCs/>
                <w:sz w:val="24"/>
                <w:lang w:val="en-US"/>
              </w:rPr>
              <w:t>5、2025 年半年度报告显示归属于上市公司股东的净利润为 -1.29 亿元，虽然较上年同期亏损有所收窄，但扣除非经常性损益后的净利润仍为 -1.42 亿元，基本每股收益为 -0.04 元 / 股。在主营业务盈利能力有待提升的情况下，公司后续计划采取哪些措施来增强核心业务竞争力，摆脱对非经常性损益的过度依赖，实现主营业务扭亏为盈，进而提升股东收益 ？</w:t>
            </w:r>
          </w:p>
          <w:p w14:paraId="307FA380">
            <w:pPr>
              <w:spacing w:line="460" w:lineRule="auto"/>
              <w:ind w:firstLine="480" w:firstLineChars="200"/>
              <w:rPr>
                <w:rFonts w:hint="default" w:ascii="宋体"/>
                <w:sz w:val="24"/>
                <w:lang w:val="en-US"/>
              </w:rPr>
            </w:pPr>
            <w:r>
              <w:rPr>
                <w:rFonts w:hint="default" w:ascii="宋体"/>
                <w:sz w:val="24"/>
                <w:lang w:val="en-US"/>
              </w:rPr>
              <w:t>尊敬的投资者，您好。公司作为中国氯碱化工领域一体化循环经济模式的典型代表，业务以PVC和烧碱为核心，纵向整合其他资源，形成了从上游资源（原盐、电石灰岩、煤炭）到中游能源（自备电厂）、电石制备，到下游化工产品（PVC、烧碱）、高附加值新材料（三氯氢硅、BDO、PBAT）及废弃物资源化（电石渣水泥、“三废”利用）的全产业链，形成“资源-能源-化工-新材料-环保”的闭环体系。面对复杂严峻的外部形势，公司坚持自我革命、苦练内功，物资采购综合施策，优化客户结构，产品供应有序向高价区域、高价客户转移，全力增收增效。坚持守正创新、激发新动能，积极探索可降解塑料、高端聚氯乙烯改性材料等新产品，增强公司未来增长点。</w:t>
            </w:r>
          </w:p>
          <w:p w14:paraId="7D69F922">
            <w:pPr>
              <w:pStyle w:val="7"/>
              <w:spacing w:line="460" w:lineRule="exact"/>
              <w:ind w:left="0" w:leftChars="0" w:firstLine="0" w:firstLineChars="0"/>
              <w:rPr>
                <w:rFonts w:hint="eastAsia" w:ascii="宋体" w:hAnsi="宋体"/>
                <w:sz w:val="24"/>
                <w:szCs w:val="24"/>
              </w:rPr>
            </w:pPr>
          </w:p>
        </w:tc>
      </w:tr>
    </w:tbl>
    <w:p w14:paraId="4F65550E">
      <w:pPr>
        <w:rPr>
          <w:rFonts w:hint="eastAsia"/>
        </w:rPr>
      </w:pPr>
    </w:p>
    <w:p w14:paraId="4DBDC73C"/>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8431">
    <w:pPr>
      <w:pStyle w:val="2"/>
      <w:tabs>
        <w:tab w:val="clear" w:pos="4153"/>
      </w:tabs>
      <w:jc w:val="right"/>
    </w:pPr>
    <w:r>
      <w:rPr>
        <w:rFonts w:hint="eastAsia"/>
      </w:rPr>
      <w:t>安徽华塑股份有限公司投资者关系活动记录表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0D074CA"/>
    <w:rsid w:val="05300538"/>
    <w:rsid w:val="06FF01C2"/>
    <w:rsid w:val="0F852976"/>
    <w:rsid w:val="188D1AD1"/>
    <w:rsid w:val="1CB2496B"/>
    <w:rsid w:val="21A54AE4"/>
    <w:rsid w:val="38080D1C"/>
    <w:rsid w:val="4112108D"/>
    <w:rsid w:val="435766B4"/>
    <w:rsid w:val="4F0973FC"/>
    <w:rsid w:val="61B42C51"/>
    <w:rsid w:val="670E1BEF"/>
    <w:rsid w:val="745F3497"/>
    <w:rsid w:val="78C43E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1477</Words>
  <Characters>1594</Characters>
  <Lines>0</Lines>
  <Paragraphs>0</Paragraphs>
  <TotalTime>7</TotalTime>
  <ScaleCrop>false</ScaleCrop>
  <LinksUpToDate>false</LinksUpToDate>
  <CharactersWithSpaces>1654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阿杜</cp:lastModifiedBy>
  <dcterms:modified xsi:type="dcterms:W3CDTF">2025-08-26T08:34:59Z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28800281DEF9412CB7BE7F248F79DE2E_13</vt:lpwstr>
  </property>
  <property fmtid="{D5CDD505-2E9C-101B-9397-08002B2CF9AE}" pid="4" name="KSOTemplateDocerSaveRecord">
    <vt:lpwstr>eyJoZGlkIjoiMzEwNTM5NzYwMDRjMzkwZTVkZjY2ODkwMGIxNGU0OTUiLCJ1c2VySWQiOiIzNTE1Mjk0MTQifQ==</vt:lpwstr>
  </property>
</Properties>
</file>