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E9FD9">
      <w:pPr>
        <w:widowControl/>
        <w:jc w:val="left"/>
        <w:rPr>
          <w:rFonts w:ascii="楷体_GB2312" w:hAnsi="Arial" w:eastAsia="楷体_GB2312" w:cs="宋体"/>
          <w:b/>
          <w:kern w:val="0"/>
          <w:szCs w:val="21"/>
        </w:rPr>
      </w:pPr>
      <w:bookmarkStart w:id="23" w:name="_GoBack"/>
      <w:bookmarkEnd w:id="23"/>
    </w:p>
    <w:p w14:paraId="5149A2FF">
      <w:pPr>
        <w:jc w:val="left"/>
        <w:rPr>
          <w:rFonts w:ascii="楷体_GB2312" w:hAnsi="宋体" w:eastAsia="楷体_GB2312" w:cs="宋体"/>
          <w:b/>
          <w:color w:val="000000"/>
          <w:szCs w:val="21"/>
        </w:rPr>
      </w:pPr>
    </w:p>
    <w:p w14:paraId="042A531C">
      <w:pPr>
        <w:pStyle w:val="5"/>
      </w:pPr>
    </w:p>
    <w:p w14:paraId="550A3BC3">
      <w:pPr>
        <w:jc w:val="center"/>
        <w:rPr>
          <w:rFonts w:ascii="楷体_GB2312" w:hAnsi="宋体" w:eastAsia="楷体_GB2312" w:cs="宋体"/>
          <w:b/>
          <w:color w:val="000000"/>
          <w:szCs w:val="21"/>
        </w:rPr>
      </w:pPr>
      <w:r>
        <w:rPr>
          <w:color w:val="000000"/>
        </w:rPr>
        <w:drawing>
          <wp:inline distT="0" distB="0" distL="0" distR="0">
            <wp:extent cx="1371600" cy="1371600"/>
            <wp:effectExtent l="0" t="0" r="0" b="0"/>
            <wp:docPr id="2" name="图片 2" descr="华塑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华塑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71600" cy="1371600"/>
                    </a:xfrm>
                    <a:prstGeom prst="rect">
                      <a:avLst/>
                    </a:prstGeom>
                    <a:noFill/>
                    <a:ln>
                      <a:noFill/>
                    </a:ln>
                  </pic:spPr>
                </pic:pic>
              </a:graphicData>
            </a:graphic>
          </wp:inline>
        </w:drawing>
      </w:r>
    </w:p>
    <w:p w14:paraId="654D4334">
      <w:pPr>
        <w:jc w:val="left"/>
        <w:rPr>
          <w:rFonts w:ascii="楷体_GB2312" w:hAnsi="宋体" w:eastAsia="楷体_GB2312" w:cs="宋体"/>
          <w:b/>
          <w:color w:val="000000"/>
          <w:szCs w:val="21"/>
        </w:rPr>
      </w:pPr>
    </w:p>
    <w:p w14:paraId="6503AF1F">
      <w:pPr>
        <w:jc w:val="center"/>
        <w:rPr>
          <w:rFonts w:ascii="楷体_GB2312" w:hAnsi="宋体" w:eastAsia="楷体_GB2312" w:cs="宋体"/>
          <w:b/>
          <w:color w:val="000000"/>
          <w:sz w:val="72"/>
          <w:szCs w:val="72"/>
        </w:rPr>
      </w:pPr>
      <w:r>
        <w:rPr>
          <w:rFonts w:hint="eastAsia" w:ascii="楷体_GB2312" w:hAnsi="宋体" w:eastAsia="楷体_GB2312" w:cs="宋体"/>
          <w:b/>
          <w:color w:val="000000"/>
          <w:sz w:val="72"/>
          <w:szCs w:val="72"/>
        </w:rPr>
        <w:t>安徽华塑股份有限公司</w:t>
      </w:r>
    </w:p>
    <w:p w14:paraId="1F57B3DA">
      <w:pPr>
        <w:jc w:val="left"/>
        <w:rPr>
          <w:rFonts w:ascii="楷体_GB2312" w:hAnsi="宋体" w:eastAsia="楷体_GB2312" w:cs="宋体"/>
          <w:b/>
          <w:color w:val="000000"/>
          <w:szCs w:val="21"/>
        </w:rPr>
      </w:pPr>
    </w:p>
    <w:p w14:paraId="66B53355">
      <w:pPr>
        <w:jc w:val="left"/>
        <w:rPr>
          <w:rFonts w:ascii="楷体_GB2312" w:hAnsi="宋体" w:eastAsia="楷体_GB2312" w:cs="宋体"/>
          <w:b/>
          <w:color w:val="000000"/>
          <w:szCs w:val="21"/>
        </w:rPr>
      </w:pPr>
    </w:p>
    <w:p w14:paraId="7957453E">
      <w:pPr>
        <w:jc w:val="left"/>
        <w:rPr>
          <w:rFonts w:ascii="楷体_GB2312" w:hAnsi="宋体" w:eastAsia="楷体_GB2312" w:cs="宋体"/>
          <w:b/>
          <w:color w:val="000000"/>
          <w:szCs w:val="21"/>
        </w:rPr>
      </w:pPr>
    </w:p>
    <w:p w14:paraId="7134B764">
      <w:pPr>
        <w:jc w:val="left"/>
        <w:rPr>
          <w:rFonts w:ascii="楷体_GB2312" w:hAnsi="宋体" w:eastAsia="楷体_GB2312" w:cs="宋体"/>
          <w:b/>
          <w:color w:val="000000"/>
          <w:szCs w:val="21"/>
        </w:rPr>
      </w:pPr>
    </w:p>
    <w:p w14:paraId="30789C70">
      <w:pPr>
        <w:jc w:val="left"/>
        <w:rPr>
          <w:rFonts w:ascii="楷体_GB2312" w:hAnsi="宋体" w:eastAsia="楷体_GB2312" w:cs="宋体"/>
          <w:b/>
          <w:color w:val="000000"/>
          <w:szCs w:val="21"/>
        </w:rPr>
      </w:pPr>
    </w:p>
    <w:p w14:paraId="7D3E479C">
      <w:pPr>
        <w:pStyle w:val="5"/>
      </w:pPr>
    </w:p>
    <w:p w14:paraId="4EF33568">
      <w:pPr>
        <w:pStyle w:val="5"/>
      </w:pPr>
    </w:p>
    <w:p w14:paraId="3814DAC3">
      <w:pPr>
        <w:pStyle w:val="5"/>
      </w:pPr>
    </w:p>
    <w:p w14:paraId="48ACF333">
      <w:pPr>
        <w:pStyle w:val="5"/>
      </w:pPr>
    </w:p>
    <w:p w14:paraId="2B81BD71">
      <w:pPr>
        <w:pStyle w:val="5"/>
      </w:pPr>
    </w:p>
    <w:p w14:paraId="4014788A">
      <w:pPr>
        <w:jc w:val="center"/>
        <w:rPr>
          <w:rFonts w:ascii="楷体_GB2312" w:hAnsi="宋体" w:eastAsia="楷体_GB2312" w:cs="宋体"/>
          <w:b/>
          <w:color w:val="000000"/>
          <w:sz w:val="52"/>
          <w:szCs w:val="52"/>
        </w:rPr>
      </w:pPr>
      <w:r>
        <w:rPr>
          <w:rFonts w:hint="eastAsia" w:ascii="楷体_GB2312" w:hAnsi="宋体" w:eastAsia="楷体_GB2312" w:cs="宋体"/>
          <w:b/>
          <w:color w:val="000000"/>
          <w:sz w:val="52"/>
          <w:szCs w:val="52"/>
        </w:rPr>
        <w:t>2</w:t>
      </w:r>
      <w:r>
        <w:rPr>
          <w:rFonts w:ascii="楷体_GB2312" w:hAnsi="宋体" w:eastAsia="楷体_GB2312" w:cs="宋体"/>
          <w:b/>
          <w:color w:val="000000"/>
          <w:sz w:val="52"/>
          <w:szCs w:val="52"/>
        </w:rPr>
        <w:t>025</w:t>
      </w:r>
      <w:r>
        <w:rPr>
          <w:rFonts w:hint="eastAsia" w:ascii="楷体_GB2312" w:hAnsi="宋体" w:eastAsia="楷体_GB2312" w:cs="宋体"/>
          <w:b/>
          <w:color w:val="000000"/>
          <w:sz w:val="52"/>
          <w:szCs w:val="52"/>
        </w:rPr>
        <w:t>年第一次临时股东大会</w:t>
      </w:r>
    </w:p>
    <w:p w14:paraId="4990FA87">
      <w:pPr>
        <w:spacing w:before="120" w:beforeLines="50"/>
        <w:jc w:val="center"/>
        <w:rPr>
          <w:rFonts w:ascii="楷体_GB2312" w:hAnsi="宋体" w:eastAsia="楷体_GB2312" w:cs="宋体"/>
          <w:b/>
          <w:color w:val="000000"/>
          <w:sz w:val="52"/>
          <w:szCs w:val="52"/>
        </w:rPr>
      </w:pPr>
      <w:r>
        <w:rPr>
          <w:rFonts w:hint="eastAsia" w:ascii="楷体_GB2312" w:hAnsi="宋体" w:eastAsia="楷体_GB2312" w:cs="宋体"/>
          <w:b/>
          <w:color w:val="000000"/>
          <w:sz w:val="52"/>
          <w:szCs w:val="52"/>
        </w:rPr>
        <w:t>会议材料</w:t>
      </w:r>
    </w:p>
    <w:p w14:paraId="28ABD226">
      <w:pPr>
        <w:jc w:val="left"/>
        <w:rPr>
          <w:rFonts w:ascii="楷体_GB2312" w:hAnsi="宋体" w:eastAsia="楷体_GB2312" w:cs="宋体"/>
          <w:b/>
          <w:color w:val="000000"/>
          <w:sz w:val="52"/>
          <w:szCs w:val="52"/>
        </w:rPr>
      </w:pPr>
    </w:p>
    <w:p w14:paraId="67F27302">
      <w:pPr>
        <w:jc w:val="left"/>
        <w:rPr>
          <w:rFonts w:ascii="楷体_GB2312" w:hAnsi="宋体" w:eastAsia="楷体_GB2312" w:cs="宋体"/>
          <w:b/>
          <w:color w:val="000000"/>
          <w:szCs w:val="21"/>
        </w:rPr>
      </w:pPr>
    </w:p>
    <w:p w14:paraId="7555228A">
      <w:pPr>
        <w:pStyle w:val="5"/>
      </w:pPr>
    </w:p>
    <w:p w14:paraId="44A7DD6A">
      <w:pPr>
        <w:pStyle w:val="5"/>
      </w:pPr>
    </w:p>
    <w:p w14:paraId="2493B924">
      <w:pPr>
        <w:pStyle w:val="5"/>
      </w:pPr>
    </w:p>
    <w:p w14:paraId="565FF4A8">
      <w:pPr>
        <w:pStyle w:val="5"/>
      </w:pPr>
    </w:p>
    <w:p w14:paraId="0B610310">
      <w:pPr>
        <w:pStyle w:val="5"/>
      </w:pPr>
    </w:p>
    <w:p w14:paraId="4D2B0CBE">
      <w:pPr>
        <w:pStyle w:val="5"/>
      </w:pPr>
    </w:p>
    <w:p w14:paraId="4B566923">
      <w:pPr>
        <w:pStyle w:val="5"/>
      </w:pPr>
    </w:p>
    <w:p w14:paraId="5FA4A39E">
      <w:pPr>
        <w:pStyle w:val="5"/>
      </w:pPr>
    </w:p>
    <w:p w14:paraId="2D762710">
      <w:pPr>
        <w:pStyle w:val="5"/>
        <w:jc w:val="center"/>
        <w:rPr>
          <w:rFonts w:ascii="楷体_GB2312" w:hAnsi="宋体" w:eastAsia="楷体_GB2312" w:cs="宋体"/>
          <w:b/>
          <w:color w:val="000000"/>
          <w:sz w:val="32"/>
          <w:szCs w:val="32"/>
        </w:rPr>
      </w:pPr>
      <w:r>
        <w:rPr>
          <w:rFonts w:hint="eastAsia" w:ascii="楷体_GB2312" w:hAnsi="宋体" w:eastAsia="楷体_GB2312" w:cs="宋体"/>
          <w:b/>
          <w:color w:val="000000"/>
          <w:sz w:val="32"/>
          <w:szCs w:val="32"/>
        </w:rPr>
        <w:t>2</w:t>
      </w:r>
      <w:r>
        <w:rPr>
          <w:rFonts w:ascii="楷体_GB2312" w:hAnsi="宋体" w:eastAsia="楷体_GB2312" w:cs="宋体"/>
          <w:b/>
          <w:color w:val="000000"/>
          <w:sz w:val="32"/>
          <w:szCs w:val="32"/>
        </w:rPr>
        <w:t>025</w:t>
      </w:r>
      <w:r>
        <w:rPr>
          <w:rFonts w:hint="eastAsia" w:ascii="楷体_GB2312" w:hAnsi="宋体" w:eastAsia="楷体_GB2312" w:cs="宋体"/>
          <w:b/>
          <w:color w:val="000000"/>
          <w:sz w:val="32"/>
          <w:szCs w:val="32"/>
        </w:rPr>
        <w:t>年</w:t>
      </w:r>
      <w:r>
        <w:rPr>
          <w:rFonts w:ascii="楷体_GB2312" w:hAnsi="宋体" w:eastAsia="楷体_GB2312" w:cs="宋体"/>
          <w:b/>
          <w:color w:val="000000"/>
          <w:sz w:val="32"/>
          <w:szCs w:val="32"/>
        </w:rPr>
        <w:t>1</w:t>
      </w:r>
      <w:r>
        <w:rPr>
          <w:rFonts w:hint="eastAsia" w:ascii="楷体_GB2312" w:hAnsi="宋体" w:eastAsia="楷体_GB2312" w:cs="宋体"/>
          <w:b/>
          <w:color w:val="000000"/>
          <w:sz w:val="32"/>
          <w:szCs w:val="32"/>
        </w:rPr>
        <w:t>月</w:t>
      </w:r>
    </w:p>
    <w:p w14:paraId="43131665">
      <w:pPr>
        <w:widowControl/>
        <w:jc w:val="left"/>
        <w:rPr>
          <w:rFonts w:ascii="楷体_GB2312" w:hAnsi="宋体" w:eastAsia="楷体_GB2312" w:cs="宋体"/>
          <w:b/>
          <w:color w:val="000000"/>
          <w:sz w:val="32"/>
          <w:szCs w:val="32"/>
        </w:rPr>
      </w:pPr>
      <w:r>
        <w:rPr>
          <w:rFonts w:ascii="楷体_GB2312" w:hAnsi="宋体" w:eastAsia="楷体_GB2312" w:cs="宋体"/>
          <w:b/>
          <w:color w:val="000000"/>
          <w:sz w:val="32"/>
          <w:szCs w:val="32"/>
        </w:rPr>
        <w:br w:type="page"/>
      </w:r>
    </w:p>
    <w:p w14:paraId="36DD3A6E">
      <w:pPr>
        <w:pStyle w:val="5"/>
        <w:jc w:val="center"/>
        <w:rPr>
          <w:rFonts w:ascii="楷体_GB2312" w:hAnsi="宋体" w:eastAsia="楷体_GB2312" w:cs="宋体"/>
          <w:b/>
          <w:color w:val="000000"/>
          <w:sz w:val="32"/>
          <w:szCs w:val="32"/>
        </w:rPr>
        <w:sectPr>
          <w:headerReference r:id="rId4" w:type="first"/>
          <w:footerReference r:id="rId6" w:type="first"/>
          <w:headerReference r:id="rId3" w:type="default"/>
          <w:footerReference r:id="rId5" w:type="default"/>
          <w:pgSz w:w="11900" w:h="16840"/>
          <w:pgMar w:top="1417" w:right="1268" w:bottom="1695" w:left="1418" w:header="989" w:footer="1267" w:gutter="0"/>
          <w:pgNumType w:start="1"/>
          <w:cols w:space="720" w:num="1"/>
          <w:titlePg/>
          <w:docGrid w:linePitch="286" w:charSpace="0"/>
        </w:sectPr>
      </w:pPr>
    </w:p>
    <w:sdt>
      <w:sdtPr>
        <w:rPr>
          <w:rFonts w:ascii="宋体" w:hAnsi="宋体" w:eastAsia="宋体" w:cstheme="minorBidi"/>
          <w:color w:val="auto"/>
          <w:kern w:val="2"/>
          <w:sz w:val="36"/>
          <w:szCs w:val="24"/>
          <w:lang w:val="zh-CN"/>
        </w:rPr>
        <w:id w:val="568162010"/>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0D148E9E">
          <w:pPr>
            <w:pStyle w:val="31"/>
            <w:spacing w:before="0" w:after="156" w:afterLines="50" w:line="360" w:lineRule="auto"/>
            <w:jc w:val="center"/>
            <w:rPr>
              <w:rFonts w:ascii="宋体" w:hAnsi="宋体" w:eastAsia="宋体"/>
              <w:b/>
              <w:color w:val="auto"/>
              <w:sz w:val="36"/>
              <w:szCs w:val="24"/>
            </w:rPr>
          </w:pPr>
          <w:r>
            <w:rPr>
              <w:rFonts w:ascii="宋体" w:hAnsi="宋体" w:eastAsia="宋体"/>
              <w:b/>
              <w:color w:val="auto"/>
              <w:sz w:val="36"/>
              <w:szCs w:val="24"/>
              <w:lang w:val="zh-CN"/>
            </w:rPr>
            <w:t>目</w:t>
          </w:r>
          <w:r>
            <w:rPr>
              <w:rFonts w:hint="eastAsia" w:ascii="宋体" w:hAnsi="宋体" w:eastAsia="宋体"/>
              <w:b/>
              <w:color w:val="auto"/>
              <w:sz w:val="36"/>
              <w:szCs w:val="24"/>
              <w:lang w:val="zh-CN"/>
            </w:rPr>
            <w:t xml:space="preserve"> </w:t>
          </w:r>
          <w:r>
            <w:rPr>
              <w:rFonts w:ascii="宋体" w:hAnsi="宋体" w:eastAsia="宋体"/>
              <w:b/>
              <w:color w:val="auto"/>
              <w:sz w:val="36"/>
              <w:szCs w:val="24"/>
              <w:lang w:val="zh-CN"/>
            </w:rPr>
            <w:t xml:space="preserve"> 录</w:t>
          </w:r>
        </w:p>
        <w:p w14:paraId="69A1CD7B">
          <w:pPr>
            <w:pStyle w:val="9"/>
            <w:spacing w:line="360" w:lineRule="auto"/>
            <w:rPr>
              <w:rFonts w:asciiTheme="minorHAnsi" w:hAnsiTheme="minorHAnsi" w:eastAsiaTheme="minorEastAsia"/>
              <w:sz w:val="24"/>
              <w:szCs w:val="24"/>
            </w:rPr>
          </w:pPr>
          <w:r>
            <w:rPr>
              <w:sz w:val="24"/>
              <w:szCs w:val="24"/>
            </w:rPr>
            <w:fldChar w:fldCharType="begin"/>
          </w:r>
          <w:r>
            <w:rPr>
              <w:sz w:val="24"/>
              <w:szCs w:val="24"/>
            </w:rPr>
            <w:instrText xml:space="preserve"> TOC \o "1-3" \h \z \u </w:instrText>
          </w:r>
          <w:r>
            <w:rPr>
              <w:sz w:val="24"/>
              <w:szCs w:val="24"/>
            </w:rPr>
            <w:fldChar w:fldCharType="separate"/>
          </w:r>
          <w:r>
            <w:fldChar w:fldCharType="begin"/>
          </w:r>
          <w:r>
            <w:instrText xml:space="preserve"> HYPERLINK \l "_Toc188624116" </w:instrText>
          </w:r>
          <w:r>
            <w:fldChar w:fldCharType="separate"/>
          </w:r>
          <w:r>
            <w:rPr>
              <w:rStyle w:val="16"/>
              <w:sz w:val="24"/>
              <w:szCs w:val="24"/>
            </w:rPr>
            <w:t>2025年第一次临时股东大会会议议程</w:t>
          </w:r>
          <w:r>
            <w:rPr>
              <w:sz w:val="24"/>
              <w:szCs w:val="24"/>
            </w:rPr>
            <w:tab/>
          </w:r>
          <w:r>
            <w:rPr>
              <w:sz w:val="24"/>
              <w:szCs w:val="24"/>
            </w:rPr>
            <w:fldChar w:fldCharType="begin"/>
          </w:r>
          <w:r>
            <w:rPr>
              <w:sz w:val="24"/>
              <w:szCs w:val="24"/>
            </w:rPr>
            <w:instrText xml:space="preserve"> PAGEREF _Toc188624116 \h </w:instrText>
          </w:r>
          <w:r>
            <w:rPr>
              <w:sz w:val="24"/>
              <w:szCs w:val="24"/>
            </w:rPr>
            <w:fldChar w:fldCharType="separate"/>
          </w:r>
          <w:r>
            <w:rPr>
              <w:sz w:val="24"/>
              <w:szCs w:val="24"/>
            </w:rPr>
            <w:t>1</w:t>
          </w:r>
          <w:r>
            <w:rPr>
              <w:sz w:val="24"/>
              <w:szCs w:val="24"/>
            </w:rPr>
            <w:fldChar w:fldCharType="end"/>
          </w:r>
          <w:r>
            <w:rPr>
              <w:sz w:val="24"/>
              <w:szCs w:val="24"/>
            </w:rPr>
            <w:fldChar w:fldCharType="end"/>
          </w:r>
        </w:p>
        <w:p w14:paraId="3A0B7FE9">
          <w:pPr>
            <w:pStyle w:val="9"/>
            <w:spacing w:line="360" w:lineRule="auto"/>
            <w:rPr>
              <w:rFonts w:asciiTheme="minorHAnsi" w:hAnsiTheme="minorHAnsi" w:eastAsiaTheme="minorEastAsia"/>
              <w:sz w:val="24"/>
              <w:szCs w:val="24"/>
            </w:rPr>
          </w:pPr>
          <w:r>
            <w:fldChar w:fldCharType="begin"/>
          </w:r>
          <w:r>
            <w:instrText xml:space="preserve"> HYPERLINK \l "_Toc188624117" </w:instrText>
          </w:r>
          <w:r>
            <w:fldChar w:fldCharType="separate"/>
          </w:r>
          <w:r>
            <w:rPr>
              <w:rStyle w:val="16"/>
              <w:sz w:val="24"/>
              <w:szCs w:val="24"/>
            </w:rPr>
            <w:t>2025年第一次临时股东大会参会须知</w:t>
          </w:r>
          <w:r>
            <w:rPr>
              <w:sz w:val="24"/>
              <w:szCs w:val="24"/>
            </w:rPr>
            <w:tab/>
          </w:r>
          <w:r>
            <w:rPr>
              <w:sz w:val="24"/>
              <w:szCs w:val="24"/>
            </w:rPr>
            <w:fldChar w:fldCharType="begin"/>
          </w:r>
          <w:r>
            <w:rPr>
              <w:sz w:val="24"/>
              <w:szCs w:val="24"/>
            </w:rPr>
            <w:instrText xml:space="preserve"> PAGEREF _Toc188624117 \h </w:instrText>
          </w:r>
          <w:r>
            <w:rPr>
              <w:sz w:val="24"/>
              <w:szCs w:val="24"/>
            </w:rPr>
            <w:fldChar w:fldCharType="separate"/>
          </w:r>
          <w:r>
            <w:rPr>
              <w:sz w:val="24"/>
              <w:szCs w:val="24"/>
            </w:rPr>
            <w:t>3</w:t>
          </w:r>
          <w:r>
            <w:rPr>
              <w:sz w:val="24"/>
              <w:szCs w:val="24"/>
            </w:rPr>
            <w:fldChar w:fldCharType="end"/>
          </w:r>
          <w:r>
            <w:rPr>
              <w:sz w:val="24"/>
              <w:szCs w:val="24"/>
            </w:rPr>
            <w:fldChar w:fldCharType="end"/>
          </w:r>
        </w:p>
        <w:p w14:paraId="7039E632">
          <w:pPr>
            <w:pStyle w:val="9"/>
            <w:spacing w:line="360" w:lineRule="auto"/>
            <w:rPr>
              <w:rFonts w:asciiTheme="minorHAnsi" w:hAnsiTheme="minorHAnsi" w:eastAsiaTheme="minorEastAsia"/>
              <w:sz w:val="24"/>
              <w:szCs w:val="24"/>
            </w:rPr>
          </w:pPr>
          <w:r>
            <w:fldChar w:fldCharType="begin"/>
          </w:r>
          <w:r>
            <w:instrText xml:space="preserve"> HYPERLINK \l "_Toc188624118" </w:instrText>
          </w:r>
          <w:r>
            <w:fldChar w:fldCharType="separate"/>
          </w:r>
          <w:r>
            <w:rPr>
              <w:rStyle w:val="16"/>
              <w:sz w:val="24"/>
              <w:szCs w:val="24"/>
            </w:rPr>
            <w:t>关于2025年度日常关联交易预计的议案</w:t>
          </w:r>
          <w:r>
            <w:rPr>
              <w:sz w:val="24"/>
              <w:szCs w:val="24"/>
            </w:rPr>
            <w:tab/>
          </w:r>
          <w:r>
            <w:rPr>
              <w:sz w:val="24"/>
              <w:szCs w:val="24"/>
            </w:rPr>
            <w:fldChar w:fldCharType="begin"/>
          </w:r>
          <w:r>
            <w:rPr>
              <w:sz w:val="24"/>
              <w:szCs w:val="24"/>
            </w:rPr>
            <w:instrText xml:space="preserve"> PAGEREF _Toc188624118 \h </w:instrText>
          </w:r>
          <w:r>
            <w:rPr>
              <w:sz w:val="24"/>
              <w:szCs w:val="24"/>
            </w:rPr>
            <w:fldChar w:fldCharType="separate"/>
          </w:r>
          <w:r>
            <w:rPr>
              <w:sz w:val="24"/>
              <w:szCs w:val="24"/>
            </w:rPr>
            <w:t>5</w:t>
          </w:r>
          <w:r>
            <w:rPr>
              <w:sz w:val="24"/>
              <w:szCs w:val="24"/>
            </w:rPr>
            <w:fldChar w:fldCharType="end"/>
          </w:r>
          <w:r>
            <w:rPr>
              <w:sz w:val="24"/>
              <w:szCs w:val="24"/>
            </w:rPr>
            <w:fldChar w:fldCharType="end"/>
          </w:r>
        </w:p>
        <w:p w14:paraId="081C00C4">
          <w:pPr>
            <w:pStyle w:val="9"/>
            <w:spacing w:line="360" w:lineRule="auto"/>
            <w:rPr>
              <w:rFonts w:asciiTheme="minorHAnsi" w:hAnsiTheme="minorHAnsi" w:eastAsiaTheme="minorEastAsia"/>
              <w:sz w:val="24"/>
              <w:szCs w:val="24"/>
            </w:rPr>
          </w:pPr>
          <w:r>
            <w:fldChar w:fldCharType="begin"/>
          </w:r>
          <w:r>
            <w:instrText xml:space="preserve"> HYPERLINK \l "_Toc188624119" </w:instrText>
          </w:r>
          <w:r>
            <w:fldChar w:fldCharType="separate"/>
          </w:r>
          <w:r>
            <w:rPr>
              <w:rStyle w:val="16"/>
              <w:sz w:val="24"/>
              <w:szCs w:val="24"/>
            </w:rPr>
            <w:t>关于更换第五届董事会非独立董事的议案</w:t>
          </w:r>
          <w:r>
            <w:rPr>
              <w:sz w:val="24"/>
              <w:szCs w:val="24"/>
            </w:rPr>
            <w:tab/>
          </w:r>
          <w:r>
            <w:rPr>
              <w:sz w:val="24"/>
              <w:szCs w:val="24"/>
            </w:rPr>
            <w:fldChar w:fldCharType="begin"/>
          </w:r>
          <w:r>
            <w:rPr>
              <w:sz w:val="24"/>
              <w:szCs w:val="24"/>
            </w:rPr>
            <w:instrText xml:space="preserve"> PAGEREF _Toc188624119 \h </w:instrText>
          </w:r>
          <w:r>
            <w:rPr>
              <w:sz w:val="24"/>
              <w:szCs w:val="24"/>
            </w:rPr>
            <w:fldChar w:fldCharType="separate"/>
          </w:r>
          <w:r>
            <w:rPr>
              <w:sz w:val="24"/>
              <w:szCs w:val="24"/>
            </w:rPr>
            <w:t>10</w:t>
          </w:r>
          <w:r>
            <w:rPr>
              <w:sz w:val="24"/>
              <w:szCs w:val="24"/>
            </w:rPr>
            <w:fldChar w:fldCharType="end"/>
          </w:r>
          <w:r>
            <w:rPr>
              <w:sz w:val="24"/>
              <w:szCs w:val="24"/>
            </w:rPr>
            <w:fldChar w:fldCharType="end"/>
          </w:r>
        </w:p>
        <w:p w14:paraId="62D50315">
          <w:pPr>
            <w:pStyle w:val="9"/>
            <w:spacing w:line="360" w:lineRule="auto"/>
            <w:rPr>
              <w:rFonts w:asciiTheme="minorHAnsi" w:hAnsiTheme="minorHAnsi" w:eastAsiaTheme="minorEastAsia"/>
              <w:sz w:val="24"/>
              <w:szCs w:val="24"/>
            </w:rPr>
          </w:pPr>
          <w:r>
            <w:fldChar w:fldCharType="begin"/>
          </w:r>
          <w:r>
            <w:instrText xml:space="preserve"> HYPERLINK \l "_Toc188624120" </w:instrText>
          </w:r>
          <w:r>
            <w:fldChar w:fldCharType="separate"/>
          </w:r>
          <w:r>
            <w:rPr>
              <w:rStyle w:val="16"/>
              <w:sz w:val="24"/>
              <w:szCs w:val="24"/>
            </w:rPr>
            <w:t>关于补选第五届监事会非职工代表监事的议案</w:t>
          </w:r>
          <w:r>
            <w:rPr>
              <w:sz w:val="24"/>
              <w:szCs w:val="24"/>
            </w:rPr>
            <w:tab/>
          </w:r>
          <w:r>
            <w:rPr>
              <w:sz w:val="24"/>
              <w:szCs w:val="24"/>
            </w:rPr>
            <w:fldChar w:fldCharType="begin"/>
          </w:r>
          <w:r>
            <w:rPr>
              <w:sz w:val="24"/>
              <w:szCs w:val="24"/>
            </w:rPr>
            <w:instrText xml:space="preserve"> PAGEREF _Toc188624120 \h </w:instrText>
          </w:r>
          <w:r>
            <w:rPr>
              <w:sz w:val="24"/>
              <w:szCs w:val="24"/>
            </w:rPr>
            <w:fldChar w:fldCharType="separate"/>
          </w:r>
          <w:r>
            <w:rPr>
              <w:sz w:val="24"/>
              <w:szCs w:val="24"/>
            </w:rPr>
            <w:t>12</w:t>
          </w:r>
          <w:r>
            <w:rPr>
              <w:sz w:val="24"/>
              <w:szCs w:val="24"/>
            </w:rPr>
            <w:fldChar w:fldCharType="end"/>
          </w:r>
          <w:r>
            <w:rPr>
              <w:sz w:val="24"/>
              <w:szCs w:val="24"/>
            </w:rPr>
            <w:fldChar w:fldCharType="end"/>
          </w:r>
        </w:p>
        <w:p w14:paraId="33E0B829">
          <w:pPr>
            <w:spacing w:line="360" w:lineRule="auto"/>
          </w:pPr>
          <w:r>
            <w:rPr>
              <w:rFonts w:ascii="宋体" w:hAnsi="宋体" w:eastAsia="宋体"/>
              <w:b/>
              <w:bCs/>
              <w:sz w:val="24"/>
              <w:szCs w:val="24"/>
              <w:lang w:val="zh-CN"/>
            </w:rPr>
            <w:fldChar w:fldCharType="end"/>
          </w:r>
        </w:p>
      </w:sdtContent>
    </w:sdt>
    <w:p w14:paraId="60142527">
      <w:pPr>
        <w:widowControl/>
        <w:jc w:val="left"/>
        <w:sectPr>
          <w:footerReference r:id="rId7" w:type="default"/>
          <w:pgSz w:w="11906" w:h="16838"/>
          <w:pgMar w:top="1440" w:right="1800" w:bottom="1440" w:left="1800" w:header="851" w:footer="992" w:gutter="0"/>
          <w:cols w:space="425" w:num="1"/>
          <w:docGrid w:type="lines" w:linePitch="312" w:charSpace="0"/>
        </w:sectPr>
      </w:pPr>
      <w:r>
        <w:br w:type="page"/>
      </w:r>
    </w:p>
    <w:p w14:paraId="3615C1FB">
      <w:pPr>
        <w:spacing w:before="312" w:beforeLines="100"/>
        <w:jc w:val="center"/>
        <w:rPr>
          <w:rFonts w:ascii="宋体" w:hAnsi="宋体" w:eastAsia="宋体"/>
          <w:b/>
          <w:sz w:val="36"/>
          <w:szCs w:val="32"/>
        </w:rPr>
      </w:pPr>
      <w:r>
        <w:rPr>
          <w:rFonts w:hint="eastAsia" w:ascii="宋体" w:hAnsi="宋体" w:eastAsia="宋体"/>
          <w:b/>
          <w:sz w:val="36"/>
          <w:szCs w:val="32"/>
        </w:rPr>
        <w:t>安徽华塑股份有限公司</w:t>
      </w:r>
    </w:p>
    <w:p w14:paraId="00992B32">
      <w:pPr>
        <w:pStyle w:val="2"/>
        <w:spacing w:before="0" w:after="240" w:line="440" w:lineRule="exact"/>
        <w:jc w:val="center"/>
        <w:rPr>
          <w:rFonts w:ascii="宋体" w:hAnsi="宋体"/>
          <w:sz w:val="36"/>
          <w:szCs w:val="32"/>
        </w:rPr>
      </w:pPr>
      <w:bookmarkStart w:id="0" w:name="_Toc188624116"/>
      <w:bookmarkStart w:id="1" w:name="_Toc172624790"/>
      <w:bookmarkStart w:id="2" w:name="_Toc134430276"/>
      <w:bookmarkStart w:id="3" w:name="_Toc102731281"/>
      <w:r>
        <w:rPr>
          <w:rFonts w:hint="eastAsia" w:ascii="宋体" w:hAnsi="宋体"/>
          <w:sz w:val="36"/>
          <w:szCs w:val="32"/>
        </w:rPr>
        <w:t>2</w:t>
      </w:r>
      <w:r>
        <w:rPr>
          <w:rFonts w:ascii="宋体" w:hAnsi="宋体"/>
          <w:sz w:val="36"/>
          <w:szCs w:val="32"/>
        </w:rPr>
        <w:t>02</w:t>
      </w:r>
      <w:r>
        <w:rPr>
          <w:rFonts w:ascii="宋体" w:hAnsi="宋体"/>
          <w:sz w:val="36"/>
          <w:szCs w:val="32"/>
          <w:lang w:val="en-US"/>
        </w:rPr>
        <w:t>5</w:t>
      </w:r>
      <w:r>
        <w:rPr>
          <w:rFonts w:hint="eastAsia" w:ascii="宋体" w:hAnsi="宋体"/>
          <w:sz w:val="36"/>
          <w:szCs w:val="32"/>
        </w:rPr>
        <w:t>年第一次临时股东大会会议议程</w:t>
      </w:r>
      <w:bookmarkEnd w:id="0"/>
      <w:bookmarkEnd w:id="1"/>
      <w:bookmarkEnd w:id="2"/>
      <w:bookmarkEnd w:id="3"/>
    </w:p>
    <w:p w14:paraId="397CA7CC">
      <w:pPr>
        <w:pStyle w:val="5"/>
        <w:spacing w:line="360" w:lineRule="auto"/>
        <w:ind w:firstLine="482" w:firstLineChars="200"/>
        <w:rPr>
          <w:rFonts w:hAnsi="宋体"/>
          <w:b/>
          <w:sz w:val="24"/>
        </w:rPr>
      </w:pPr>
      <w:r>
        <w:rPr>
          <w:rFonts w:hint="eastAsia" w:hAnsi="宋体"/>
          <w:b/>
          <w:sz w:val="24"/>
        </w:rPr>
        <w:t>一、会议召开时间</w:t>
      </w:r>
    </w:p>
    <w:p w14:paraId="07B703D2">
      <w:pPr>
        <w:pStyle w:val="5"/>
        <w:spacing w:line="360" w:lineRule="auto"/>
        <w:ind w:firstLine="480" w:firstLineChars="200"/>
        <w:rPr>
          <w:rFonts w:hAnsi="宋体"/>
          <w:sz w:val="24"/>
        </w:rPr>
      </w:pPr>
      <w:r>
        <w:rPr>
          <w:rFonts w:hint="eastAsia" w:hAnsi="宋体"/>
          <w:sz w:val="24"/>
        </w:rPr>
        <w:t>（一）现场会议：202</w:t>
      </w:r>
      <w:r>
        <w:rPr>
          <w:rFonts w:hAnsi="宋体"/>
          <w:sz w:val="24"/>
        </w:rPr>
        <w:t>5</w:t>
      </w:r>
      <w:r>
        <w:rPr>
          <w:rFonts w:hint="eastAsia" w:hAnsi="宋体"/>
          <w:sz w:val="24"/>
        </w:rPr>
        <w:t>年</w:t>
      </w:r>
      <w:r>
        <w:rPr>
          <w:rFonts w:hAnsi="宋体"/>
          <w:sz w:val="24"/>
        </w:rPr>
        <w:t>2</w:t>
      </w:r>
      <w:r>
        <w:rPr>
          <w:rFonts w:hint="eastAsia" w:hAnsi="宋体"/>
          <w:sz w:val="24"/>
        </w:rPr>
        <w:t>月</w:t>
      </w:r>
      <w:r>
        <w:rPr>
          <w:rFonts w:hAnsi="宋体"/>
          <w:sz w:val="24"/>
        </w:rPr>
        <w:t>20</w:t>
      </w:r>
      <w:r>
        <w:rPr>
          <w:rFonts w:hint="eastAsia" w:hAnsi="宋体"/>
          <w:sz w:val="24"/>
        </w:rPr>
        <w:t>日上午</w:t>
      </w:r>
      <w:r>
        <w:rPr>
          <w:rFonts w:hAnsi="宋体"/>
          <w:sz w:val="24"/>
        </w:rPr>
        <w:t>10</w:t>
      </w:r>
      <w:r>
        <w:rPr>
          <w:rFonts w:hint="eastAsia" w:hAnsi="宋体"/>
          <w:sz w:val="24"/>
        </w:rPr>
        <w:t>:</w:t>
      </w:r>
      <w:r>
        <w:rPr>
          <w:rFonts w:hAnsi="宋体"/>
          <w:sz w:val="24"/>
        </w:rPr>
        <w:t>30</w:t>
      </w:r>
    </w:p>
    <w:p w14:paraId="7F92F01D">
      <w:pPr>
        <w:pStyle w:val="5"/>
        <w:spacing w:line="360" w:lineRule="auto"/>
        <w:ind w:firstLine="480" w:firstLineChars="200"/>
        <w:rPr>
          <w:rFonts w:hAnsi="宋体"/>
          <w:sz w:val="24"/>
        </w:rPr>
      </w:pPr>
      <w:r>
        <w:rPr>
          <w:rFonts w:hint="eastAsia" w:hAnsi="宋体"/>
          <w:sz w:val="24"/>
        </w:rPr>
        <w:t>（二）网络投票：采用上海证券交易所网络投票系统，通过交易系统投票平台的投票时间为股东大会召开当日的交易时间段，</w:t>
      </w:r>
      <w:r>
        <w:rPr>
          <w:rFonts w:hint="eastAsia" w:hAnsi="宋体" w:cs="宋体"/>
          <w:kern w:val="0"/>
          <w:sz w:val="24"/>
        </w:rPr>
        <w:t>即</w:t>
      </w:r>
      <w:r>
        <w:rPr>
          <w:rFonts w:hint="eastAsia" w:hAnsi="宋体"/>
          <w:sz w:val="24"/>
        </w:rPr>
        <w:t>9:15-9:25,9:30-11:30，13:00-15:00；通过互联网投票平台的投票时间为股东大会召开当日的9:15-15:00。</w:t>
      </w:r>
    </w:p>
    <w:p w14:paraId="29CB39E9">
      <w:pPr>
        <w:pStyle w:val="5"/>
        <w:spacing w:line="360" w:lineRule="auto"/>
        <w:ind w:firstLine="482" w:firstLineChars="200"/>
        <w:rPr>
          <w:rFonts w:hAnsi="宋体"/>
          <w:b/>
          <w:sz w:val="24"/>
        </w:rPr>
      </w:pPr>
      <w:r>
        <w:rPr>
          <w:rFonts w:hint="eastAsia" w:hAnsi="宋体"/>
          <w:b/>
          <w:sz w:val="24"/>
        </w:rPr>
        <w:t>二、现场会议地点</w:t>
      </w:r>
    </w:p>
    <w:p w14:paraId="01B44036">
      <w:pPr>
        <w:pStyle w:val="5"/>
        <w:spacing w:line="360" w:lineRule="auto"/>
        <w:ind w:firstLine="480" w:firstLineChars="200"/>
        <w:rPr>
          <w:rFonts w:hAnsi="宋体"/>
          <w:sz w:val="24"/>
        </w:rPr>
      </w:pPr>
      <w:r>
        <w:rPr>
          <w:rFonts w:hint="eastAsia" w:hAnsi="宋体"/>
          <w:sz w:val="24"/>
        </w:rPr>
        <w:t>安徽省滁州市定远县炉桥镇安徽华塑股份有限公司会议室</w:t>
      </w:r>
    </w:p>
    <w:p w14:paraId="5E4DA1CA">
      <w:pPr>
        <w:pStyle w:val="5"/>
        <w:spacing w:line="360" w:lineRule="auto"/>
        <w:ind w:firstLine="482" w:firstLineChars="200"/>
        <w:rPr>
          <w:rFonts w:hAnsi="宋体"/>
          <w:b/>
          <w:sz w:val="24"/>
        </w:rPr>
      </w:pPr>
      <w:r>
        <w:rPr>
          <w:rFonts w:hint="eastAsia" w:hAnsi="宋体"/>
          <w:b/>
          <w:sz w:val="24"/>
        </w:rPr>
        <w:t>三、与会人员</w:t>
      </w:r>
    </w:p>
    <w:p w14:paraId="36A34136">
      <w:pPr>
        <w:spacing w:line="360" w:lineRule="auto"/>
        <w:ind w:firstLine="480" w:firstLineChars="200"/>
        <w:rPr>
          <w:rFonts w:ascii="宋体" w:hAnsi="宋体" w:eastAsia="宋体"/>
          <w:sz w:val="24"/>
        </w:rPr>
      </w:pPr>
      <w:r>
        <w:rPr>
          <w:rFonts w:hint="eastAsia" w:ascii="宋体" w:hAnsi="宋体" w:eastAsia="宋体" w:cs="Times New Roman"/>
          <w:sz w:val="24"/>
          <w:szCs w:val="24"/>
        </w:rPr>
        <w:t>（一）截至202</w:t>
      </w:r>
      <w:r>
        <w:rPr>
          <w:rFonts w:ascii="宋体" w:hAnsi="宋体" w:eastAsia="宋体" w:cs="Times New Roman"/>
          <w:sz w:val="24"/>
          <w:szCs w:val="24"/>
        </w:rPr>
        <w:t>5</w:t>
      </w:r>
      <w:r>
        <w:rPr>
          <w:rFonts w:hint="eastAsia" w:ascii="宋体" w:hAnsi="宋体" w:eastAsia="宋体" w:cs="Times New Roman"/>
          <w:sz w:val="24"/>
          <w:szCs w:val="24"/>
        </w:rPr>
        <w:t>年</w:t>
      </w:r>
      <w:r>
        <w:rPr>
          <w:rFonts w:ascii="宋体" w:hAnsi="宋体" w:eastAsia="宋体" w:cs="Times New Roman"/>
          <w:sz w:val="24"/>
          <w:szCs w:val="24"/>
        </w:rPr>
        <w:t>2</w:t>
      </w:r>
      <w:r>
        <w:rPr>
          <w:rFonts w:hint="eastAsia" w:ascii="宋体" w:hAnsi="宋体" w:eastAsia="宋体" w:cs="Times New Roman"/>
          <w:sz w:val="24"/>
          <w:szCs w:val="24"/>
        </w:rPr>
        <w:t>月</w:t>
      </w:r>
      <w:r>
        <w:rPr>
          <w:rFonts w:ascii="宋体" w:hAnsi="宋体" w:eastAsia="宋体" w:cs="Times New Roman"/>
          <w:sz w:val="24"/>
          <w:szCs w:val="24"/>
        </w:rPr>
        <w:t>13</w:t>
      </w:r>
      <w:r>
        <w:rPr>
          <w:rFonts w:hint="eastAsia" w:ascii="宋体" w:hAnsi="宋体" w:eastAsia="宋体" w:cs="Times New Roman"/>
          <w:sz w:val="24"/>
          <w:szCs w:val="24"/>
        </w:rPr>
        <w:t>日下午交易结束后，在中国证券登记结算有限责任公</w:t>
      </w:r>
      <w:r>
        <w:rPr>
          <w:rFonts w:hint="eastAsia" w:ascii="宋体" w:hAnsi="宋体" w:eastAsia="宋体"/>
          <w:sz w:val="24"/>
        </w:rPr>
        <w:t>司上海分公司登记在册的公司股东或其代理人</w:t>
      </w:r>
    </w:p>
    <w:p w14:paraId="11795739">
      <w:pPr>
        <w:pStyle w:val="5"/>
        <w:spacing w:line="360" w:lineRule="auto"/>
        <w:ind w:firstLine="480" w:firstLineChars="200"/>
        <w:rPr>
          <w:rFonts w:hAnsi="宋体"/>
          <w:sz w:val="24"/>
        </w:rPr>
      </w:pPr>
      <w:r>
        <w:rPr>
          <w:rFonts w:hint="eastAsia" w:hAnsi="宋体"/>
          <w:sz w:val="24"/>
        </w:rPr>
        <w:t>（二）公司董事、监事和高级管理人员</w:t>
      </w:r>
    </w:p>
    <w:p w14:paraId="3925C56D">
      <w:pPr>
        <w:pStyle w:val="5"/>
        <w:spacing w:line="360" w:lineRule="auto"/>
        <w:ind w:firstLine="480" w:firstLineChars="200"/>
        <w:rPr>
          <w:rFonts w:hAnsi="宋体"/>
          <w:sz w:val="24"/>
        </w:rPr>
      </w:pPr>
      <w:r>
        <w:rPr>
          <w:rFonts w:hint="eastAsia" w:hAnsi="宋体"/>
          <w:sz w:val="24"/>
        </w:rPr>
        <w:t>（三）本次会议的见证律师</w:t>
      </w:r>
    </w:p>
    <w:p w14:paraId="4489E9A9">
      <w:pPr>
        <w:pStyle w:val="5"/>
        <w:spacing w:line="360" w:lineRule="auto"/>
        <w:ind w:firstLine="480" w:firstLineChars="200"/>
        <w:rPr>
          <w:rFonts w:hAnsi="宋体"/>
          <w:sz w:val="24"/>
        </w:rPr>
      </w:pPr>
      <w:r>
        <w:rPr>
          <w:rFonts w:hint="eastAsia" w:hAnsi="宋体"/>
          <w:sz w:val="24"/>
        </w:rPr>
        <w:t>（四）本次会议的工作人员</w:t>
      </w:r>
    </w:p>
    <w:p w14:paraId="3E959D15">
      <w:pPr>
        <w:pStyle w:val="5"/>
        <w:spacing w:line="360" w:lineRule="auto"/>
        <w:ind w:firstLine="482" w:firstLineChars="200"/>
        <w:rPr>
          <w:rFonts w:hAnsi="宋体"/>
          <w:b/>
          <w:sz w:val="24"/>
        </w:rPr>
      </w:pPr>
      <w:r>
        <w:rPr>
          <w:rFonts w:hint="eastAsia" w:hAnsi="宋体"/>
          <w:b/>
          <w:sz w:val="24"/>
        </w:rPr>
        <w:t>四、会议主持人</w:t>
      </w:r>
    </w:p>
    <w:p w14:paraId="367C7628">
      <w:pPr>
        <w:pStyle w:val="5"/>
        <w:spacing w:line="360" w:lineRule="auto"/>
        <w:ind w:firstLine="480" w:firstLineChars="200"/>
        <w:rPr>
          <w:rFonts w:hAnsi="宋体"/>
          <w:sz w:val="24"/>
        </w:rPr>
      </w:pPr>
      <w:r>
        <w:rPr>
          <w:rFonts w:hint="eastAsia" w:hAnsi="宋体"/>
          <w:sz w:val="24"/>
        </w:rPr>
        <w:t>董事长路明先生</w:t>
      </w:r>
    </w:p>
    <w:p w14:paraId="68E02218">
      <w:pPr>
        <w:pStyle w:val="5"/>
        <w:numPr>
          <w:ilvl w:val="0"/>
          <w:numId w:val="1"/>
        </w:numPr>
        <w:spacing w:line="360" w:lineRule="auto"/>
        <w:rPr>
          <w:rFonts w:hAnsi="宋体"/>
          <w:b/>
          <w:sz w:val="24"/>
        </w:rPr>
      </w:pPr>
      <w:r>
        <w:rPr>
          <w:rFonts w:hint="eastAsia" w:hAnsi="宋体"/>
          <w:b/>
          <w:sz w:val="24"/>
        </w:rPr>
        <w:t>会议主要议程安排</w:t>
      </w:r>
    </w:p>
    <w:p w14:paraId="7F1F4D78">
      <w:pPr>
        <w:pStyle w:val="5"/>
        <w:spacing w:line="360" w:lineRule="auto"/>
        <w:ind w:firstLine="480" w:firstLineChars="200"/>
        <w:rPr>
          <w:rFonts w:hAnsi="宋体"/>
          <w:sz w:val="24"/>
        </w:rPr>
      </w:pPr>
      <w:r>
        <w:rPr>
          <w:rFonts w:hint="eastAsia" w:hAnsi="宋体"/>
          <w:sz w:val="24"/>
        </w:rPr>
        <w:t>（一）宣布开会</w:t>
      </w:r>
    </w:p>
    <w:p w14:paraId="42F0508A">
      <w:pPr>
        <w:pStyle w:val="5"/>
        <w:spacing w:line="360" w:lineRule="auto"/>
        <w:ind w:firstLine="480" w:firstLineChars="200"/>
        <w:rPr>
          <w:rFonts w:hAnsi="宋体"/>
          <w:sz w:val="24"/>
        </w:rPr>
      </w:pPr>
      <w:r>
        <w:rPr>
          <w:rFonts w:hint="eastAsia" w:hAnsi="宋体"/>
          <w:sz w:val="24"/>
        </w:rPr>
        <w:t>1.主持人宣布会议开始并宣读会议须知</w:t>
      </w:r>
    </w:p>
    <w:p w14:paraId="72352C2B">
      <w:pPr>
        <w:pStyle w:val="5"/>
        <w:spacing w:line="360" w:lineRule="auto"/>
        <w:ind w:firstLine="480" w:firstLineChars="200"/>
        <w:rPr>
          <w:rFonts w:hAnsi="宋体"/>
          <w:sz w:val="24"/>
        </w:rPr>
      </w:pPr>
      <w:r>
        <w:rPr>
          <w:rFonts w:hAnsi="宋体"/>
          <w:sz w:val="24"/>
        </w:rPr>
        <w:t>2</w:t>
      </w:r>
      <w:r>
        <w:rPr>
          <w:rFonts w:hint="eastAsia" w:hAnsi="宋体"/>
          <w:sz w:val="24"/>
        </w:rPr>
        <w:t>.宣布现场参会人数及所代表股份数</w:t>
      </w:r>
    </w:p>
    <w:p w14:paraId="3CF3E319">
      <w:pPr>
        <w:pStyle w:val="5"/>
        <w:spacing w:line="360" w:lineRule="auto"/>
        <w:ind w:firstLine="480" w:firstLineChars="200"/>
        <w:rPr>
          <w:rFonts w:hAnsi="宋体"/>
          <w:sz w:val="24"/>
        </w:rPr>
      </w:pPr>
      <w:r>
        <w:rPr>
          <w:rFonts w:hint="eastAsia" w:hAnsi="宋体"/>
          <w:sz w:val="24"/>
        </w:rPr>
        <w:t>3.介绍公司董事、监事、高级管理人员、见证律师及其他人士出席情况</w:t>
      </w:r>
    </w:p>
    <w:p w14:paraId="2969663E">
      <w:pPr>
        <w:pStyle w:val="5"/>
        <w:spacing w:line="360" w:lineRule="auto"/>
        <w:ind w:firstLine="480" w:firstLineChars="200"/>
        <w:rPr>
          <w:rFonts w:hAnsi="宋体"/>
          <w:sz w:val="24"/>
        </w:rPr>
      </w:pPr>
      <w:r>
        <w:rPr>
          <w:rFonts w:hint="eastAsia" w:hAnsi="宋体"/>
          <w:sz w:val="24"/>
        </w:rPr>
        <w:t>（二）宣读和审议议案</w:t>
      </w:r>
    </w:p>
    <w:p w14:paraId="5A7CDE0D">
      <w:pPr>
        <w:pStyle w:val="5"/>
        <w:spacing w:line="360" w:lineRule="auto"/>
        <w:ind w:firstLine="480" w:firstLineChars="200"/>
        <w:rPr>
          <w:rFonts w:hAnsi="宋体" w:cs="Arial"/>
          <w:kern w:val="0"/>
          <w:sz w:val="24"/>
        </w:rPr>
      </w:pPr>
      <w:r>
        <w:rPr>
          <w:rFonts w:hint="eastAsia" w:hAnsi="宋体"/>
          <w:sz w:val="24"/>
        </w:rPr>
        <w:t>1.</w:t>
      </w:r>
      <w:r>
        <w:rPr>
          <w:rFonts w:hint="eastAsia" w:hAnsi="宋体" w:cs="Arial"/>
          <w:kern w:val="0"/>
          <w:sz w:val="24"/>
        </w:rPr>
        <w:t>《</w:t>
      </w:r>
      <w:r>
        <w:rPr>
          <w:rFonts w:hint="eastAsia" w:hAnsi="宋体"/>
          <w:sz w:val="24"/>
        </w:rPr>
        <w:t>关于2025年度日常关联交易预计的议案</w:t>
      </w:r>
      <w:r>
        <w:rPr>
          <w:rFonts w:hint="eastAsia" w:hAnsi="宋体" w:cs="Arial"/>
          <w:kern w:val="0"/>
          <w:sz w:val="24"/>
        </w:rPr>
        <w:t>》</w:t>
      </w:r>
    </w:p>
    <w:p w14:paraId="2B98C8BE">
      <w:pPr>
        <w:pStyle w:val="5"/>
        <w:spacing w:line="360" w:lineRule="auto"/>
        <w:ind w:firstLine="480" w:firstLineChars="200"/>
        <w:rPr>
          <w:rFonts w:hAnsi="宋体" w:cs="Arial"/>
          <w:kern w:val="0"/>
          <w:sz w:val="24"/>
        </w:rPr>
      </w:pPr>
      <w:r>
        <w:rPr>
          <w:rFonts w:hint="eastAsia" w:hAnsi="宋体" w:cs="Arial"/>
          <w:kern w:val="0"/>
          <w:sz w:val="24"/>
        </w:rPr>
        <w:t>2.《</w:t>
      </w:r>
      <w:r>
        <w:rPr>
          <w:rFonts w:hint="eastAsia" w:hAnsi="宋体"/>
          <w:bCs/>
          <w:sz w:val="24"/>
        </w:rPr>
        <w:t>关于更换第五届董事会非独立董事的议案</w:t>
      </w:r>
      <w:r>
        <w:rPr>
          <w:rFonts w:hint="eastAsia" w:hAnsi="宋体" w:cs="Arial"/>
          <w:kern w:val="0"/>
          <w:sz w:val="24"/>
        </w:rPr>
        <w:t>》</w:t>
      </w:r>
    </w:p>
    <w:p w14:paraId="179036F4">
      <w:pPr>
        <w:pStyle w:val="5"/>
        <w:spacing w:line="360" w:lineRule="auto"/>
        <w:ind w:firstLine="480" w:firstLineChars="200"/>
        <w:rPr>
          <w:rFonts w:hAnsi="宋体" w:cs="Arial"/>
          <w:kern w:val="0"/>
          <w:sz w:val="24"/>
        </w:rPr>
      </w:pPr>
      <w:r>
        <w:rPr>
          <w:rFonts w:hint="eastAsia" w:hAnsi="宋体" w:cs="Arial"/>
          <w:kern w:val="0"/>
          <w:sz w:val="24"/>
        </w:rPr>
        <w:t>3.《</w:t>
      </w:r>
      <w:r>
        <w:rPr>
          <w:rFonts w:hint="eastAsia" w:hAnsi="宋体"/>
          <w:bCs/>
          <w:sz w:val="24"/>
        </w:rPr>
        <w:t>关于补选第五届监事会非职工代表监事的议案</w:t>
      </w:r>
      <w:r>
        <w:rPr>
          <w:rFonts w:hint="eastAsia" w:hAnsi="宋体" w:cs="Arial"/>
          <w:kern w:val="0"/>
          <w:sz w:val="24"/>
        </w:rPr>
        <w:t>》</w:t>
      </w:r>
    </w:p>
    <w:p w14:paraId="7FCD51E2">
      <w:pPr>
        <w:pStyle w:val="5"/>
        <w:spacing w:line="360" w:lineRule="auto"/>
        <w:ind w:firstLine="480" w:firstLineChars="200"/>
        <w:rPr>
          <w:rFonts w:hAnsi="宋体"/>
          <w:sz w:val="24"/>
        </w:rPr>
      </w:pPr>
      <w:r>
        <w:rPr>
          <w:rFonts w:hint="eastAsia" w:hAnsi="宋体"/>
          <w:sz w:val="24"/>
        </w:rPr>
        <w:t>（三）股东及股东代表讨论、提问</w:t>
      </w:r>
    </w:p>
    <w:p w14:paraId="4A88F3DC">
      <w:pPr>
        <w:pStyle w:val="5"/>
        <w:spacing w:line="360" w:lineRule="auto"/>
        <w:ind w:firstLine="480" w:firstLineChars="200"/>
        <w:rPr>
          <w:rFonts w:hAnsi="宋体"/>
          <w:sz w:val="24"/>
        </w:rPr>
      </w:pPr>
      <w:r>
        <w:rPr>
          <w:rFonts w:hint="eastAsia" w:hAnsi="宋体"/>
          <w:sz w:val="24"/>
        </w:rPr>
        <w:t>（四）投票表决</w:t>
      </w:r>
    </w:p>
    <w:p w14:paraId="22BE2C37">
      <w:pPr>
        <w:pStyle w:val="5"/>
        <w:spacing w:line="360" w:lineRule="auto"/>
        <w:ind w:firstLine="480" w:firstLineChars="200"/>
        <w:rPr>
          <w:rFonts w:hAnsi="宋体"/>
          <w:sz w:val="24"/>
        </w:rPr>
      </w:pPr>
      <w:r>
        <w:rPr>
          <w:rFonts w:hint="eastAsia" w:hAnsi="宋体"/>
          <w:sz w:val="24"/>
        </w:rPr>
        <w:t>1.推举股东代表参加计票和监票</w:t>
      </w:r>
    </w:p>
    <w:p w14:paraId="5D763C17">
      <w:pPr>
        <w:pStyle w:val="5"/>
        <w:spacing w:line="360" w:lineRule="auto"/>
        <w:ind w:firstLine="480" w:firstLineChars="200"/>
        <w:rPr>
          <w:rFonts w:hAnsi="宋体"/>
          <w:sz w:val="24"/>
        </w:rPr>
      </w:pPr>
      <w:r>
        <w:rPr>
          <w:rFonts w:hint="eastAsia" w:hAnsi="宋体"/>
          <w:sz w:val="24"/>
        </w:rPr>
        <w:t>2.股东进行书面投票表决</w:t>
      </w:r>
    </w:p>
    <w:p w14:paraId="3E0438ED">
      <w:pPr>
        <w:pStyle w:val="5"/>
        <w:spacing w:line="360" w:lineRule="auto"/>
        <w:ind w:firstLine="480" w:firstLineChars="200"/>
        <w:rPr>
          <w:rFonts w:hAnsi="宋体"/>
          <w:sz w:val="24"/>
        </w:rPr>
      </w:pPr>
      <w:r>
        <w:rPr>
          <w:rFonts w:hint="eastAsia" w:hAnsi="宋体"/>
          <w:sz w:val="24"/>
        </w:rPr>
        <w:t>3.统计现场投票表决情况</w:t>
      </w:r>
    </w:p>
    <w:p w14:paraId="4ADDE278">
      <w:pPr>
        <w:pStyle w:val="5"/>
        <w:spacing w:line="360" w:lineRule="auto"/>
        <w:ind w:firstLine="480" w:firstLineChars="200"/>
        <w:rPr>
          <w:rFonts w:hAnsi="宋体"/>
          <w:sz w:val="24"/>
        </w:rPr>
      </w:pPr>
      <w:r>
        <w:rPr>
          <w:rFonts w:hint="eastAsia" w:hAnsi="宋体"/>
          <w:sz w:val="24"/>
        </w:rPr>
        <w:t>4.宣布现场投票表决结果</w:t>
      </w:r>
    </w:p>
    <w:p w14:paraId="70EBA150">
      <w:pPr>
        <w:pStyle w:val="5"/>
        <w:spacing w:line="360" w:lineRule="auto"/>
        <w:ind w:firstLine="480" w:firstLineChars="200"/>
        <w:rPr>
          <w:rFonts w:hAnsi="宋体"/>
          <w:sz w:val="24"/>
        </w:rPr>
      </w:pPr>
      <w:r>
        <w:rPr>
          <w:rFonts w:hint="eastAsia" w:hAnsi="宋体"/>
          <w:sz w:val="24"/>
        </w:rPr>
        <w:t>（五）等待网络投票结果</w:t>
      </w:r>
    </w:p>
    <w:p w14:paraId="36BBD7F8">
      <w:pPr>
        <w:pStyle w:val="5"/>
        <w:spacing w:line="360" w:lineRule="auto"/>
        <w:ind w:firstLine="480" w:firstLineChars="200"/>
        <w:rPr>
          <w:rFonts w:hAnsi="宋体"/>
          <w:sz w:val="24"/>
        </w:rPr>
      </w:pPr>
      <w:r>
        <w:rPr>
          <w:rFonts w:hint="eastAsia" w:hAnsi="宋体"/>
          <w:sz w:val="24"/>
        </w:rPr>
        <w:t>1.现场会议休会</w:t>
      </w:r>
    </w:p>
    <w:p w14:paraId="7162A50B">
      <w:pPr>
        <w:pStyle w:val="5"/>
        <w:spacing w:line="360" w:lineRule="auto"/>
        <w:ind w:firstLine="480" w:firstLineChars="200"/>
        <w:rPr>
          <w:rFonts w:hAnsi="宋体"/>
          <w:sz w:val="24"/>
        </w:rPr>
      </w:pPr>
      <w:r>
        <w:rPr>
          <w:rFonts w:hint="eastAsia" w:hAnsi="宋体"/>
          <w:sz w:val="24"/>
        </w:rPr>
        <w:t>2.汇总现场会议和网络投票表决情况</w:t>
      </w:r>
    </w:p>
    <w:p w14:paraId="0C9CDE84">
      <w:pPr>
        <w:pStyle w:val="5"/>
        <w:spacing w:line="360" w:lineRule="auto"/>
        <w:ind w:firstLine="480" w:firstLineChars="200"/>
        <w:rPr>
          <w:rFonts w:hAnsi="宋体"/>
          <w:sz w:val="24"/>
        </w:rPr>
      </w:pPr>
      <w:r>
        <w:rPr>
          <w:rFonts w:hint="eastAsia" w:hAnsi="宋体"/>
          <w:sz w:val="24"/>
        </w:rPr>
        <w:t>（六）宣读决议和法律意见书</w:t>
      </w:r>
    </w:p>
    <w:p w14:paraId="477C4981">
      <w:pPr>
        <w:pStyle w:val="5"/>
        <w:spacing w:line="360" w:lineRule="auto"/>
        <w:ind w:firstLine="480" w:firstLineChars="200"/>
        <w:rPr>
          <w:rFonts w:hAnsi="宋体"/>
          <w:sz w:val="24"/>
        </w:rPr>
      </w:pPr>
      <w:r>
        <w:rPr>
          <w:rFonts w:hint="eastAsia" w:hAnsi="宋体"/>
          <w:sz w:val="24"/>
        </w:rPr>
        <w:t>1.宣读本次股东大会决议</w:t>
      </w:r>
    </w:p>
    <w:p w14:paraId="79F4130C">
      <w:pPr>
        <w:pStyle w:val="5"/>
        <w:spacing w:line="360" w:lineRule="auto"/>
        <w:ind w:firstLine="480" w:firstLineChars="200"/>
        <w:rPr>
          <w:rFonts w:hAnsi="宋体"/>
          <w:sz w:val="24"/>
        </w:rPr>
      </w:pPr>
      <w:r>
        <w:rPr>
          <w:rFonts w:hint="eastAsia" w:hAnsi="宋体"/>
          <w:sz w:val="24"/>
        </w:rPr>
        <w:t>2.见证律师宣读本次股东大会法律意见书</w:t>
      </w:r>
    </w:p>
    <w:p w14:paraId="6220D0A2">
      <w:pPr>
        <w:pStyle w:val="5"/>
        <w:spacing w:line="360" w:lineRule="auto"/>
        <w:ind w:firstLine="480" w:firstLineChars="200"/>
        <w:rPr>
          <w:rFonts w:hAnsi="宋体"/>
          <w:sz w:val="24"/>
        </w:rPr>
      </w:pPr>
      <w:r>
        <w:rPr>
          <w:rFonts w:hint="eastAsia" w:hAnsi="宋体"/>
          <w:sz w:val="24"/>
        </w:rPr>
        <w:t>3.签署会议决议和会议记录</w:t>
      </w:r>
    </w:p>
    <w:p w14:paraId="0825CB56">
      <w:pPr>
        <w:pStyle w:val="5"/>
        <w:spacing w:line="360" w:lineRule="auto"/>
        <w:ind w:firstLine="480" w:firstLineChars="200"/>
        <w:rPr>
          <w:rFonts w:hAnsi="宋体"/>
          <w:sz w:val="24"/>
        </w:rPr>
      </w:pPr>
      <w:r>
        <w:rPr>
          <w:rFonts w:hint="eastAsia" w:hAnsi="宋体"/>
          <w:sz w:val="24"/>
        </w:rPr>
        <w:t>4.主持人宣布会议结束</w:t>
      </w:r>
    </w:p>
    <w:p w14:paraId="11DC4A24">
      <w:pPr>
        <w:pStyle w:val="5"/>
        <w:spacing w:line="360" w:lineRule="auto"/>
        <w:ind w:firstLine="200"/>
        <w:rPr>
          <w:rFonts w:hAnsi="宋体"/>
          <w:sz w:val="24"/>
        </w:rPr>
      </w:pPr>
    </w:p>
    <w:p w14:paraId="533D8391">
      <w:pPr>
        <w:widowControl/>
        <w:jc w:val="left"/>
        <w:rPr>
          <w:rFonts w:ascii="宋体" w:hAnsi="宋体"/>
          <w:sz w:val="22"/>
        </w:rPr>
      </w:pPr>
      <w:r>
        <w:rPr>
          <w:rFonts w:hAnsi="宋体"/>
          <w:sz w:val="22"/>
        </w:rPr>
        <w:br w:type="page"/>
      </w:r>
    </w:p>
    <w:p w14:paraId="10E412C0">
      <w:pPr>
        <w:jc w:val="center"/>
        <w:rPr>
          <w:rFonts w:ascii="宋体" w:hAnsi="宋体" w:eastAsia="宋体"/>
          <w:b/>
          <w:sz w:val="36"/>
          <w:szCs w:val="32"/>
        </w:rPr>
      </w:pPr>
      <w:r>
        <w:rPr>
          <w:rFonts w:hint="eastAsia" w:ascii="宋体" w:hAnsi="宋体" w:eastAsia="宋体"/>
          <w:b/>
          <w:sz w:val="36"/>
          <w:szCs w:val="32"/>
        </w:rPr>
        <w:t>安徽华塑股份有限公司</w:t>
      </w:r>
    </w:p>
    <w:p w14:paraId="4781E6FD">
      <w:pPr>
        <w:pStyle w:val="2"/>
        <w:spacing w:before="0" w:after="240" w:line="440" w:lineRule="exact"/>
        <w:jc w:val="center"/>
        <w:rPr>
          <w:rFonts w:ascii="宋体" w:hAnsi="宋体"/>
          <w:sz w:val="36"/>
          <w:szCs w:val="32"/>
        </w:rPr>
      </w:pPr>
      <w:bookmarkStart w:id="4" w:name="_Toc172624791"/>
      <w:bookmarkStart w:id="5" w:name="_Toc134430277"/>
      <w:bookmarkStart w:id="6" w:name="_Toc188624117"/>
      <w:bookmarkStart w:id="7" w:name="_Toc102731282"/>
      <w:r>
        <w:rPr>
          <w:rFonts w:hint="eastAsia" w:ascii="宋体" w:hAnsi="宋体"/>
          <w:sz w:val="36"/>
          <w:szCs w:val="32"/>
        </w:rPr>
        <w:t>2</w:t>
      </w:r>
      <w:r>
        <w:rPr>
          <w:rFonts w:ascii="宋体" w:hAnsi="宋体"/>
          <w:sz w:val="36"/>
          <w:szCs w:val="32"/>
        </w:rPr>
        <w:t>02</w:t>
      </w:r>
      <w:r>
        <w:rPr>
          <w:rFonts w:ascii="宋体" w:hAnsi="宋体"/>
          <w:sz w:val="36"/>
          <w:szCs w:val="32"/>
          <w:lang w:val="en-US"/>
        </w:rPr>
        <w:t>5</w:t>
      </w:r>
      <w:r>
        <w:rPr>
          <w:rFonts w:hint="eastAsia" w:ascii="宋体" w:hAnsi="宋体"/>
          <w:sz w:val="36"/>
          <w:szCs w:val="32"/>
        </w:rPr>
        <w:t>年第一次临时股东大会参会须知</w:t>
      </w:r>
      <w:bookmarkEnd w:id="4"/>
      <w:bookmarkEnd w:id="5"/>
      <w:bookmarkEnd w:id="6"/>
      <w:bookmarkEnd w:id="7"/>
    </w:p>
    <w:p w14:paraId="27372126">
      <w:pPr>
        <w:pStyle w:val="5"/>
        <w:spacing w:line="360" w:lineRule="auto"/>
        <w:ind w:firstLine="480" w:firstLineChars="200"/>
        <w:rPr>
          <w:rFonts w:hAnsi="宋体"/>
          <w:sz w:val="24"/>
          <w:szCs w:val="28"/>
        </w:rPr>
      </w:pPr>
      <w:r>
        <w:rPr>
          <w:rFonts w:hint="eastAsia" w:hAnsi="宋体"/>
          <w:sz w:val="24"/>
          <w:szCs w:val="28"/>
        </w:rPr>
        <w:t>为维护广大投资者的合法权益，确保安徽华塑股份有限公司（以下简称“公司”）2</w:t>
      </w:r>
      <w:r>
        <w:rPr>
          <w:rFonts w:hAnsi="宋体"/>
          <w:sz w:val="24"/>
          <w:szCs w:val="28"/>
        </w:rPr>
        <w:t>025</w:t>
      </w:r>
      <w:r>
        <w:rPr>
          <w:rFonts w:hint="eastAsia" w:hAnsi="宋体"/>
          <w:sz w:val="24"/>
          <w:szCs w:val="28"/>
        </w:rPr>
        <w:t>年第一次临时股东大会顺利召开，根据《公司法》《公司章程》及公司《股东大会议事规则》等相关规定，制定本次会议参会须知，请出席股东大会的全体人员自觉遵守。</w:t>
      </w:r>
    </w:p>
    <w:p w14:paraId="7B8A4767">
      <w:pPr>
        <w:pStyle w:val="5"/>
        <w:spacing w:line="360" w:lineRule="auto"/>
        <w:ind w:firstLine="482" w:firstLineChars="200"/>
        <w:rPr>
          <w:rFonts w:hAnsi="宋体"/>
          <w:b/>
          <w:sz w:val="24"/>
        </w:rPr>
      </w:pPr>
      <w:r>
        <w:rPr>
          <w:rFonts w:hint="eastAsia" w:hAnsi="宋体"/>
          <w:b/>
          <w:sz w:val="24"/>
        </w:rPr>
        <w:t>一、出席现场会议的股东及股东代表需注意事项</w:t>
      </w:r>
    </w:p>
    <w:p w14:paraId="6EBBE516">
      <w:pPr>
        <w:pStyle w:val="5"/>
        <w:spacing w:line="360" w:lineRule="auto"/>
        <w:ind w:firstLine="480" w:firstLineChars="200"/>
        <w:rPr>
          <w:rFonts w:hAnsi="宋体"/>
          <w:sz w:val="24"/>
          <w:szCs w:val="28"/>
        </w:rPr>
      </w:pPr>
      <w:r>
        <w:rPr>
          <w:rFonts w:hint="eastAsia" w:hAnsi="宋体"/>
          <w:sz w:val="24"/>
        </w:rPr>
        <w:t>1.本次股东大会设置会务组，由公司证券部</w:t>
      </w:r>
      <w:r>
        <w:rPr>
          <w:rFonts w:hint="eastAsia" w:hAnsi="宋体"/>
          <w:sz w:val="24"/>
          <w:szCs w:val="28"/>
        </w:rPr>
        <w:t>负责会议的程序安排和会务工作。</w:t>
      </w:r>
    </w:p>
    <w:p w14:paraId="34D485F3">
      <w:pPr>
        <w:pStyle w:val="5"/>
        <w:spacing w:line="360" w:lineRule="auto"/>
        <w:ind w:firstLine="480" w:firstLineChars="200"/>
        <w:rPr>
          <w:rFonts w:hAnsi="宋体"/>
          <w:sz w:val="24"/>
          <w:szCs w:val="28"/>
        </w:rPr>
      </w:pPr>
      <w:r>
        <w:rPr>
          <w:rFonts w:hAnsi="宋体"/>
          <w:sz w:val="24"/>
          <w:szCs w:val="28"/>
        </w:rPr>
        <w:t>2</w:t>
      </w:r>
      <w:r>
        <w:rPr>
          <w:rFonts w:hint="eastAsia" w:hAnsi="宋体"/>
          <w:sz w:val="24"/>
          <w:szCs w:val="28"/>
        </w:rPr>
        <w:t>.请出席会议的股东和股东代表（下称“股东”）务必携带相关证明材料原件（身份证、授权委托书、证券账户卡、法定代表人资格有效证明及加盖公章的法人股东营业执照复印件等）于2</w:t>
      </w:r>
      <w:r>
        <w:rPr>
          <w:rFonts w:hAnsi="宋体"/>
          <w:sz w:val="24"/>
          <w:szCs w:val="28"/>
        </w:rPr>
        <w:t>025</w:t>
      </w:r>
      <w:r>
        <w:rPr>
          <w:rFonts w:hint="eastAsia" w:hAnsi="宋体"/>
          <w:sz w:val="24"/>
          <w:szCs w:val="28"/>
        </w:rPr>
        <w:t>年2月</w:t>
      </w:r>
      <w:r>
        <w:rPr>
          <w:rFonts w:hAnsi="宋体"/>
          <w:sz w:val="24"/>
          <w:szCs w:val="28"/>
        </w:rPr>
        <w:t>20</w:t>
      </w:r>
      <w:r>
        <w:rPr>
          <w:rFonts w:hint="eastAsia" w:hAnsi="宋体"/>
          <w:sz w:val="24"/>
          <w:szCs w:val="28"/>
        </w:rPr>
        <w:t>日上午</w:t>
      </w:r>
      <w:r>
        <w:rPr>
          <w:rFonts w:hAnsi="宋体"/>
          <w:sz w:val="24"/>
          <w:szCs w:val="28"/>
        </w:rPr>
        <w:t>10</w:t>
      </w:r>
      <w:r>
        <w:rPr>
          <w:rFonts w:hint="eastAsia" w:hAnsi="宋体"/>
          <w:sz w:val="24"/>
          <w:szCs w:val="28"/>
        </w:rPr>
        <w:t>:0</w:t>
      </w:r>
      <w:r>
        <w:rPr>
          <w:rFonts w:hAnsi="宋体"/>
          <w:sz w:val="24"/>
          <w:szCs w:val="28"/>
        </w:rPr>
        <w:t>0-10</w:t>
      </w:r>
      <w:r>
        <w:rPr>
          <w:rFonts w:hint="eastAsia" w:hAnsi="宋体"/>
          <w:sz w:val="24"/>
          <w:szCs w:val="28"/>
        </w:rPr>
        <w:t>:</w:t>
      </w:r>
      <w:r>
        <w:rPr>
          <w:rFonts w:hAnsi="宋体"/>
          <w:sz w:val="24"/>
          <w:szCs w:val="28"/>
        </w:rPr>
        <w:t>30</w:t>
      </w:r>
      <w:r>
        <w:rPr>
          <w:rFonts w:hint="eastAsia" w:hAnsi="宋体"/>
          <w:sz w:val="24"/>
          <w:szCs w:val="28"/>
        </w:rPr>
        <w:t>准时到达会场办理签到登记手续。</w:t>
      </w:r>
    </w:p>
    <w:p w14:paraId="2DA1E8B8">
      <w:pPr>
        <w:pStyle w:val="5"/>
        <w:spacing w:line="360" w:lineRule="auto"/>
        <w:ind w:firstLine="480" w:firstLineChars="200"/>
        <w:rPr>
          <w:rFonts w:hAnsi="宋体"/>
          <w:sz w:val="24"/>
          <w:szCs w:val="28"/>
        </w:rPr>
      </w:pPr>
      <w:r>
        <w:rPr>
          <w:rFonts w:hint="eastAsia" w:hAnsi="宋体"/>
          <w:sz w:val="24"/>
          <w:szCs w:val="28"/>
        </w:rPr>
        <w:t>3.股东未做参会登记或会议签到迟到的，不得参加现场表决和发言。</w:t>
      </w:r>
    </w:p>
    <w:p w14:paraId="46E35A59">
      <w:pPr>
        <w:pStyle w:val="5"/>
        <w:spacing w:line="360" w:lineRule="auto"/>
        <w:ind w:firstLine="480" w:firstLineChars="200"/>
        <w:rPr>
          <w:rFonts w:hAnsi="宋体"/>
          <w:sz w:val="24"/>
          <w:szCs w:val="28"/>
        </w:rPr>
      </w:pPr>
      <w:r>
        <w:rPr>
          <w:rFonts w:hAnsi="宋体"/>
          <w:sz w:val="24"/>
          <w:szCs w:val="28"/>
        </w:rPr>
        <w:t>4</w:t>
      </w:r>
      <w:r>
        <w:rPr>
          <w:rFonts w:hint="eastAsia" w:hAnsi="宋体"/>
          <w:sz w:val="24"/>
          <w:szCs w:val="28"/>
        </w:rPr>
        <w:t>.股东在股东大会上有权发言和提问。为维护股东大会秩序，请准备发言和提问的股东事先向会务组登记申请，并请提供发言提纲，由公司统一安排发言和解答。议案表决开始后，大会将不再安排股东发言。股东发言顺序按持股数量排列。</w:t>
      </w:r>
    </w:p>
    <w:p w14:paraId="0F7A55B2">
      <w:pPr>
        <w:pStyle w:val="5"/>
        <w:spacing w:line="360" w:lineRule="auto"/>
        <w:ind w:firstLine="480" w:firstLineChars="200"/>
        <w:rPr>
          <w:rFonts w:hAnsi="宋体"/>
          <w:sz w:val="24"/>
          <w:szCs w:val="28"/>
        </w:rPr>
      </w:pPr>
      <w:r>
        <w:rPr>
          <w:rFonts w:hint="eastAsia" w:hAnsi="宋体"/>
          <w:sz w:val="24"/>
          <w:szCs w:val="28"/>
        </w:rPr>
        <w:t>5.股东发言范围仅限于本次股东大会审议的议题或公司的经营、管理、发展等内容，超出此限的会议组织方有权取消发言人的该次发言资格，董事、总经理、监事或应答者有权拒绝回答无关问题。</w:t>
      </w:r>
    </w:p>
    <w:p w14:paraId="475AE204">
      <w:pPr>
        <w:pStyle w:val="5"/>
        <w:spacing w:line="360" w:lineRule="auto"/>
        <w:ind w:firstLine="480" w:firstLineChars="200"/>
        <w:rPr>
          <w:rFonts w:hAnsi="宋体"/>
          <w:sz w:val="24"/>
          <w:szCs w:val="28"/>
        </w:rPr>
      </w:pPr>
      <w:r>
        <w:rPr>
          <w:rFonts w:hint="eastAsia" w:hAnsi="宋体"/>
          <w:sz w:val="24"/>
          <w:szCs w:val="28"/>
        </w:rPr>
        <w:t>6.为保证会场秩序，进入会场后，请将手机关闭或调至振动状态。谢绝个人录音、拍照及录像。对于干扰会议正常秩序、寻衅滋事或侵犯股东合法权益的行为，工作人员有权予以制止，并及时报告有关部门查处。</w:t>
      </w:r>
    </w:p>
    <w:p w14:paraId="5653146F">
      <w:pPr>
        <w:pStyle w:val="5"/>
        <w:spacing w:line="360" w:lineRule="auto"/>
        <w:ind w:firstLine="480" w:firstLineChars="200"/>
        <w:rPr>
          <w:rFonts w:hAnsi="宋体"/>
          <w:sz w:val="24"/>
          <w:szCs w:val="28"/>
        </w:rPr>
      </w:pPr>
      <w:r>
        <w:rPr>
          <w:rFonts w:hint="eastAsia" w:hAnsi="宋体"/>
          <w:sz w:val="24"/>
          <w:szCs w:val="28"/>
        </w:rPr>
        <w:t>7.出席现场会议的股东请按照要求填写表决票。股东以其所持有的有表决权的股份数额行使表决权，每一份享有一票表决权。出席现场会议的股东在投票表决时，必须填写股东姓名或委托股东姓名，在表决票每项议案下设的“同意”“反对”“弃权”三项中任选一项，并以打“√”表示，未填、填错、字迹无法辨认的表决票或未投的表决票均视为“弃权”。完成后将表决票及时交给工作人员，以便及时统计表决结果。</w:t>
      </w:r>
    </w:p>
    <w:p w14:paraId="196BD0EB">
      <w:pPr>
        <w:pStyle w:val="5"/>
        <w:spacing w:line="360" w:lineRule="auto"/>
        <w:ind w:firstLine="480" w:firstLineChars="200"/>
        <w:rPr>
          <w:rFonts w:hAnsi="宋体"/>
          <w:sz w:val="24"/>
          <w:szCs w:val="28"/>
        </w:rPr>
      </w:pPr>
      <w:r>
        <w:rPr>
          <w:rFonts w:hint="eastAsia" w:hAnsi="宋体"/>
          <w:sz w:val="24"/>
          <w:szCs w:val="28"/>
        </w:rPr>
        <w:t>8.股东应严肃认真独立行使表决权，不得干扰其他股东的表决。</w:t>
      </w:r>
    </w:p>
    <w:p w14:paraId="3ADF2428">
      <w:pPr>
        <w:pStyle w:val="5"/>
        <w:spacing w:line="360" w:lineRule="auto"/>
        <w:ind w:firstLine="480" w:firstLineChars="200"/>
        <w:rPr>
          <w:rFonts w:hAnsi="宋体"/>
          <w:sz w:val="24"/>
          <w:szCs w:val="28"/>
        </w:rPr>
      </w:pPr>
      <w:r>
        <w:rPr>
          <w:rFonts w:hint="eastAsia" w:hAnsi="宋体"/>
          <w:sz w:val="24"/>
          <w:szCs w:val="28"/>
        </w:rPr>
        <w:t>9.本次股东大会共有</w:t>
      </w:r>
      <w:r>
        <w:rPr>
          <w:rFonts w:hAnsi="宋体"/>
          <w:sz w:val="24"/>
          <w:szCs w:val="28"/>
        </w:rPr>
        <w:t>3</w:t>
      </w:r>
      <w:r>
        <w:rPr>
          <w:rFonts w:hint="eastAsia" w:hAnsi="宋体"/>
          <w:sz w:val="24"/>
          <w:szCs w:val="28"/>
        </w:rPr>
        <w:t>项议案需表决，无特别决议议案。</w:t>
      </w:r>
    </w:p>
    <w:p w14:paraId="6101C125">
      <w:pPr>
        <w:pStyle w:val="5"/>
        <w:spacing w:line="360" w:lineRule="auto"/>
        <w:ind w:firstLine="480" w:firstLineChars="200"/>
        <w:rPr>
          <w:rFonts w:hAnsi="宋体"/>
          <w:sz w:val="24"/>
          <w:szCs w:val="28"/>
        </w:rPr>
      </w:pPr>
      <w:r>
        <w:rPr>
          <w:rFonts w:hAnsi="宋体"/>
          <w:sz w:val="24"/>
          <w:szCs w:val="28"/>
        </w:rPr>
        <w:t>10</w:t>
      </w:r>
      <w:r>
        <w:rPr>
          <w:rFonts w:hint="eastAsia" w:hAnsi="宋体"/>
          <w:sz w:val="24"/>
          <w:szCs w:val="28"/>
        </w:rPr>
        <w:t>.按照《公司章程》规定，会议由两名股东代表、一名监事代表及见证律师共同负责计票、监票。表决结果由计票、监票小组推选代表宣布。</w:t>
      </w:r>
    </w:p>
    <w:p w14:paraId="65643C83">
      <w:pPr>
        <w:pStyle w:val="5"/>
        <w:spacing w:line="360" w:lineRule="auto"/>
        <w:ind w:firstLine="480" w:firstLineChars="200"/>
        <w:rPr>
          <w:rFonts w:hAnsi="宋体"/>
          <w:sz w:val="24"/>
          <w:szCs w:val="28"/>
        </w:rPr>
      </w:pPr>
      <w:r>
        <w:rPr>
          <w:rFonts w:hint="eastAsia" w:hAnsi="宋体"/>
          <w:sz w:val="24"/>
          <w:szCs w:val="28"/>
        </w:rPr>
        <w:t>1</w:t>
      </w:r>
      <w:r>
        <w:rPr>
          <w:rFonts w:hAnsi="宋体"/>
          <w:sz w:val="24"/>
          <w:szCs w:val="28"/>
        </w:rPr>
        <w:t>1</w:t>
      </w:r>
      <w:r>
        <w:rPr>
          <w:rFonts w:hint="eastAsia" w:hAnsi="宋体"/>
          <w:sz w:val="24"/>
          <w:szCs w:val="28"/>
        </w:rPr>
        <w:t>.公司董事会聘请安徽天禾律师事务所执业律师对本次股东大会的全部议程进行见证，并出具法律意见。</w:t>
      </w:r>
    </w:p>
    <w:p w14:paraId="045C5F86">
      <w:pPr>
        <w:pStyle w:val="5"/>
        <w:spacing w:line="360" w:lineRule="auto"/>
        <w:ind w:firstLine="482" w:firstLineChars="200"/>
        <w:rPr>
          <w:rFonts w:hAnsi="宋体"/>
          <w:b/>
          <w:sz w:val="24"/>
          <w:szCs w:val="28"/>
        </w:rPr>
      </w:pPr>
      <w:r>
        <w:rPr>
          <w:rFonts w:hint="eastAsia" w:hAnsi="宋体"/>
          <w:b/>
          <w:sz w:val="24"/>
          <w:szCs w:val="28"/>
        </w:rPr>
        <w:t>二、参加网络投票的股东需注意事项</w:t>
      </w:r>
    </w:p>
    <w:p w14:paraId="6B845551">
      <w:pPr>
        <w:pStyle w:val="5"/>
        <w:spacing w:line="360" w:lineRule="auto"/>
        <w:ind w:firstLine="480" w:firstLineChars="200"/>
        <w:rPr>
          <w:rFonts w:hAnsi="宋体"/>
          <w:sz w:val="24"/>
          <w:szCs w:val="28"/>
        </w:rPr>
      </w:pPr>
      <w:r>
        <w:rPr>
          <w:rFonts w:hint="eastAsia" w:hAnsi="宋体"/>
          <w:sz w:val="24"/>
          <w:szCs w:val="28"/>
        </w:rPr>
        <w:t>参加网络投票的股东可通过上海证券交易所网络投票系统进行投票，通过交易系统投票平台的投票时间为股东大会召开当日的交易时间段，即9:15-9:25,9:30-11:30，13:00-15:00；通过互联网投票平台的投票时间为股东大会召开当日的9:15-15:00。具体操作参见公司2</w:t>
      </w:r>
      <w:r>
        <w:rPr>
          <w:rFonts w:hAnsi="宋体"/>
          <w:sz w:val="24"/>
          <w:szCs w:val="28"/>
        </w:rPr>
        <w:t>025</w:t>
      </w:r>
      <w:r>
        <w:rPr>
          <w:rFonts w:hint="eastAsia" w:hAnsi="宋体"/>
          <w:sz w:val="24"/>
          <w:szCs w:val="28"/>
        </w:rPr>
        <w:t>年</w:t>
      </w:r>
      <w:r>
        <w:rPr>
          <w:rFonts w:hAnsi="宋体"/>
          <w:sz w:val="24"/>
          <w:szCs w:val="28"/>
        </w:rPr>
        <w:t>1</w:t>
      </w:r>
      <w:r>
        <w:rPr>
          <w:rFonts w:hint="eastAsia" w:hAnsi="宋体"/>
          <w:sz w:val="24"/>
          <w:szCs w:val="28"/>
        </w:rPr>
        <w:t>月</w:t>
      </w:r>
      <w:r>
        <w:rPr>
          <w:rFonts w:hAnsi="宋体"/>
          <w:sz w:val="24"/>
          <w:szCs w:val="28"/>
        </w:rPr>
        <w:t>21</w:t>
      </w:r>
      <w:r>
        <w:rPr>
          <w:rFonts w:hint="eastAsia" w:hAnsi="宋体"/>
          <w:sz w:val="24"/>
          <w:szCs w:val="28"/>
        </w:rPr>
        <w:t>日在上海证券交易所网站（www.sse.com.cn）披露的《安徽华塑股份有限公司关于召开2</w:t>
      </w:r>
      <w:r>
        <w:rPr>
          <w:rFonts w:hAnsi="宋体"/>
          <w:sz w:val="24"/>
          <w:szCs w:val="28"/>
        </w:rPr>
        <w:t>025</w:t>
      </w:r>
      <w:r>
        <w:rPr>
          <w:rFonts w:hint="eastAsia" w:hAnsi="宋体"/>
          <w:sz w:val="24"/>
          <w:szCs w:val="28"/>
        </w:rPr>
        <w:t>年第一次临时股东大会的通知》（公告编号2</w:t>
      </w:r>
      <w:r>
        <w:rPr>
          <w:rFonts w:hAnsi="宋体"/>
          <w:sz w:val="24"/>
          <w:szCs w:val="28"/>
        </w:rPr>
        <w:t>025-005</w:t>
      </w:r>
      <w:r>
        <w:rPr>
          <w:rFonts w:hint="eastAsia" w:hAnsi="宋体"/>
          <w:sz w:val="24"/>
          <w:szCs w:val="28"/>
        </w:rPr>
        <w:t>）的相关内容。同一表决权只能选择现场投票和网络投票中的一种表决方式，如果有重复投票，以第一次投票为准。</w:t>
      </w:r>
    </w:p>
    <w:p w14:paraId="46C46CAB">
      <w:pPr>
        <w:spacing w:line="360" w:lineRule="auto"/>
        <w:ind w:firstLine="3643" w:firstLineChars="1518"/>
        <w:jc w:val="right"/>
        <w:rPr>
          <w:rFonts w:ascii="宋体" w:hAnsi="宋体" w:eastAsia="宋体" w:cs="Times New Roman"/>
          <w:sz w:val="24"/>
          <w:szCs w:val="28"/>
        </w:rPr>
      </w:pPr>
    </w:p>
    <w:p w14:paraId="0CB3DDFB">
      <w:pPr>
        <w:spacing w:line="360" w:lineRule="auto"/>
        <w:ind w:firstLine="3643" w:firstLineChars="1518"/>
        <w:jc w:val="right"/>
        <w:rPr>
          <w:rFonts w:ascii="宋体" w:hAnsi="宋体" w:eastAsia="宋体" w:cs="Times New Roman"/>
          <w:sz w:val="24"/>
          <w:szCs w:val="28"/>
        </w:rPr>
      </w:pPr>
    </w:p>
    <w:p w14:paraId="2DC33551">
      <w:pPr>
        <w:pStyle w:val="5"/>
        <w:spacing w:line="360" w:lineRule="auto"/>
        <w:ind w:firstLine="480" w:firstLineChars="200"/>
        <w:jc w:val="right"/>
        <w:rPr>
          <w:rFonts w:hAnsi="宋体"/>
          <w:sz w:val="24"/>
          <w:szCs w:val="28"/>
        </w:rPr>
      </w:pPr>
      <w:r>
        <w:rPr>
          <w:rFonts w:hint="eastAsia" w:hAnsi="宋体"/>
          <w:sz w:val="24"/>
          <w:szCs w:val="28"/>
        </w:rPr>
        <w:t>安徽华塑股份有限公司董事会</w:t>
      </w:r>
    </w:p>
    <w:p w14:paraId="0BCA057D">
      <w:pPr>
        <w:pStyle w:val="5"/>
        <w:spacing w:line="360" w:lineRule="auto"/>
        <w:ind w:right="480" w:firstLine="480" w:firstLineChars="200"/>
        <w:jc w:val="right"/>
        <w:rPr>
          <w:rFonts w:hAnsi="宋体"/>
          <w:sz w:val="24"/>
          <w:szCs w:val="28"/>
        </w:rPr>
      </w:pPr>
      <w:r>
        <w:rPr>
          <w:rFonts w:hint="eastAsia" w:hAnsi="宋体"/>
          <w:sz w:val="24"/>
          <w:szCs w:val="28"/>
        </w:rPr>
        <w:t>202</w:t>
      </w:r>
      <w:r>
        <w:rPr>
          <w:rFonts w:hAnsi="宋体"/>
          <w:sz w:val="24"/>
          <w:szCs w:val="28"/>
        </w:rPr>
        <w:t>5</w:t>
      </w:r>
      <w:r>
        <w:rPr>
          <w:rFonts w:hint="eastAsia" w:hAnsi="宋体"/>
          <w:sz w:val="24"/>
          <w:szCs w:val="28"/>
        </w:rPr>
        <w:t>年</w:t>
      </w:r>
      <w:r>
        <w:rPr>
          <w:rFonts w:hAnsi="宋体"/>
          <w:sz w:val="24"/>
          <w:szCs w:val="28"/>
        </w:rPr>
        <w:t>1</w:t>
      </w:r>
      <w:r>
        <w:rPr>
          <w:rFonts w:hint="eastAsia" w:hAnsi="宋体"/>
          <w:sz w:val="24"/>
          <w:szCs w:val="28"/>
        </w:rPr>
        <w:t>月</w:t>
      </w:r>
      <w:r>
        <w:rPr>
          <w:rFonts w:hAnsi="宋体"/>
          <w:sz w:val="24"/>
          <w:szCs w:val="28"/>
        </w:rPr>
        <w:t>25</w:t>
      </w:r>
      <w:r>
        <w:rPr>
          <w:rFonts w:hint="eastAsia" w:hAnsi="宋体"/>
          <w:sz w:val="24"/>
          <w:szCs w:val="28"/>
        </w:rPr>
        <w:t>日</w:t>
      </w:r>
    </w:p>
    <w:p w14:paraId="5D5C024E">
      <w:pPr>
        <w:pStyle w:val="5"/>
        <w:spacing w:line="520" w:lineRule="exact"/>
        <w:ind w:firstLine="480" w:firstLineChars="200"/>
        <w:jc w:val="right"/>
        <w:rPr>
          <w:rFonts w:hAnsi="宋体"/>
          <w:sz w:val="24"/>
          <w:szCs w:val="28"/>
        </w:rPr>
      </w:pPr>
    </w:p>
    <w:p w14:paraId="71D189F6">
      <w:pPr>
        <w:pStyle w:val="5"/>
        <w:spacing w:line="520" w:lineRule="exact"/>
        <w:ind w:firstLine="422" w:firstLineChars="200"/>
        <w:rPr>
          <w:rFonts w:ascii="楷体_GB2312" w:hAnsi="Arial" w:eastAsia="楷体_GB2312" w:cs="宋体"/>
          <w:b/>
          <w:kern w:val="0"/>
          <w:szCs w:val="21"/>
        </w:rPr>
      </w:pPr>
      <w:r>
        <w:rPr>
          <w:rFonts w:hint="eastAsia" w:ascii="楷体_GB2312" w:hAnsi="Arial" w:eastAsia="楷体_GB2312" w:cs="宋体"/>
          <w:b/>
          <w:kern w:val="0"/>
          <w:szCs w:val="21"/>
        </w:rPr>
        <w:br w:type="page"/>
      </w:r>
    </w:p>
    <w:p w14:paraId="65021499">
      <w:pPr>
        <w:spacing w:line="440" w:lineRule="exact"/>
        <w:jc w:val="left"/>
        <w:rPr>
          <w:rFonts w:ascii="宋体" w:hAnsi="宋体" w:eastAsia="宋体" w:cs="宋体"/>
          <w:b/>
          <w:kern w:val="0"/>
          <w:sz w:val="22"/>
          <w:szCs w:val="21"/>
        </w:rPr>
      </w:pPr>
      <w:r>
        <w:rPr>
          <w:rFonts w:hint="eastAsia" w:ascii="宋体" w:hAnsi="宋体" w:eastAsia="宋体" w:cs="宋体"/>
          <w:b/>
          <w:kern w:val="0"/>
          <w:sz w:val="22"/>
          <w:szCs w:val="21"/>
        </w:rPr>
        <w:t>议案一</w:t>
      </w:r>
    </w:p>
    <w:p w14:paraId="76444CC6">
      <w:pPr>
        <w:pStyle w:val="2"/>
        <w:spacing w:line="440" w:lineRule="exact"/>
        <w:jc w:val="center"/>
        <w:rPr>
          <w:rFonts w:ascii="宋体" w:hAnsi="宋体"/>
          <w:sz w:val="32"/>
          <w:szCs w:val="28"/>
        </w:rPr>
      </w:pPr>
      <w:bookmarkStart w:id="8" w:name="_Toc98837138"/>
      <w:bookmarkStart w:id="9" w:name="_Toc188624118"/>
      <w:bookmarkStart w:id="10" w:name="_Toc124756138"/>
      <w:bookmarkStart w:id="11" w:name="_Toc98142019"/>
      <w:bookmarkStart w:id="12" w:name="_Toc187671604"/>
      <w:bookmarkStart w:id="13" w:name="_Toc155269947"/>
      <w:bookmarkStart w:id="14" w:name="_Toc108724512"/>
      <w:r>
        <w:rPr>
          <w:rFonts w:hint="eastAsia" w:ascii="宋体" w:hAnsi="宋体"/>
          <w:sz w:val="32"/>
          <w:szCs w:val="28"/>
        </w:rPr>
        <w:t>关于2</w:t>
      </w:r>
      <w:r>
        <w:rPr>
          <w:rFonts w:ascii="宋体" w:hAnsi="宋体"/>
          <w:sz w:val="32"/>
          <w:szCs w:val="28"/>
        </w:rPr>
        <w:t>02</w:t>
      </w:r>
      <w:r>
        <w:rPr>
          <w:rFonts w:hint="eastAsia" w:ascii="宋体" w:hAnsi="宋体"/>
          <w:sz w:val="32"/>
          <w:szCs w:val="28"/>
        </w:rPr>
        <w:t>5年度日常关联交易预计的议案</w:t>
      </w:r>
      <w:bookmarkEnd w:id="8"/>
      <w:bookmarkEnd w:id="9"/>
      <w:bookmarkEnd w:id="10"/>
      <w:bookmarkEnd w:id="11"/>
      <w:bookmarkEnd w:id="12"/>
      <w:bookmarkEnd w:id="13"/>
      <w:bookmarkEnd w:id="14"/>
    </w:p>
    <w:p w14:paraId="584249DF">
      <w:pPr>
        <w:spacing w:line="360" w:lineRule="auto"/>
        <w:jc w:val="left"/>
        <w:rPr>
          <w:rFonts w:ascii="宋体" w:hAnsi="宋体" w:eastAsia="宋体" w:cs="华文仿宋"/>
          <w:sz w:val="24"/>
          <w:szCs w:val="24"/>
        </w:rPr>
      </w:pPr>
      <w:bookmarkStart w:id="15" w:name="_Hlk98341331"/>
      <w:r>
        <w:rPr>
          <w:rFonts w:hint="eastAsia" w:ascii="宋体" w:hAnsi="宋体" w:eastAsia="宋体" w:cs="华文仿宋"/>
          <w:sz w:val="24"/>
          <w:szCs w:val="24"/>
        </w:rPr>
        <w:t>各位股东及股东代表：</w:t>
      </w:r>
    </w:p>
    <w:bookmarkEnd w:id="15"/>
    <w:p w14:paraId="36E37DBE">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现将公司2024年度日常关联交易执行情况及2025年度日常关联交易预计进行汇报：</w:t>
      </w:r>
    </w:p>
    <w:p w14:paraId="7D01DB8F">
      <w:pPr>
        <w:spacing w:line="360" w:lineRule="auto"/>
        <w:ind w:firstLine="482" w:firstLineChars="200"/>
        <w:rPr>
          <w:rFonts w:ascii="宋体" w:hAnsi="宋体" w:eastAsia="宋体"/>
          <w:b/>
          <w:sz w:val="24"/>
          <w:szCs w:val="24"/>
        </w:rPr>
      </w:pPr>
      <w:r>
        <w:rPr>
          <w:rFonts w:hint="eastAsia" w:ascii="宋体" w:hAnsi="宋体" w:eastAsia="宋体"/>
          <w:b/>
          <w:sz w:val="24"/>
          <w:szCs w:val="24"/>
        </w:rPr>
        <w:t>一、2024年度日常关联交易的预计和执行情况</w:t>
      </w:r>
    </w:p>
    <w:p w14:paraId="56035FCE">
      <w:pPr>
        <w:spacing w:line="360" w:lineRule="auto"/>
        <w:ind w:firstLine="480" w:firstLineChars="200"/>
        <w:rPr>
          <w:rFonts w:ascii="宋体" w:hAnsi="宋体" w:eastAsia="宋体"/>
          <w:sz w:val="24"/>
          <w:szCs w:val="24"/>
        </w:rPr>
      </w:pPr>
      <w:r>
        <w:rPr>
          <w:rFonts w:hint="eastAsia" w:ascii="宋体" w:hAnsi="宋体" w:eastAsia="宋体"/>
          <w:sz w:val="24"/>
          <w:szCs w:val="24"/>
        </w:rPr>
        <w:t>公司2024年度与关联方日常关联交易预计和执行情况如下：</w:t>
      </w:r>
    </w:p>
    <w:p w14:paraId="146456BA">
      <w:pPr>
        <w:ind w:firstLine="480" w:firstLineChars="200"/>
        <w:jc w:val="right"/>
        <w:rPr>
          <w:rFonts w:ascii="宋体" w:hAnsi="宋体" w:eastAsia="宋体"/>
          <w:sz w:val="24"/>
          <w:szCs w:val="24"/>
        </w:rPr>
      </w:pPr>
      <w:r>
        <w:rPr>
          <w:rFonts w:hint="eastAsia" w:ascii="宋体" w:hAnsi="宋体" w:eastAsia="宋体"/>
          <w:sz w:val="24"/>
          <w:szCs w:val="24"/>
        </w:rPr>
        <w:t>单位：万元</w:t>
      </w:r>
    </w:p>
    <w:tbl>
      <w:tblPr>
        <w:tblStyle w:val="13"/>
        <w:tblW w:w="5887" w:type="pct"/>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878"/>
        <w:gridCol w:w="1663"/>
        <w:gridCol w:w="1581"/>
        <w:gridCol w:w="2432"/>
      </w:tblGrid>
      <w:tr w14:paraId="69EA515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tcBorders>
              <w:top w:val="double" w:color="auto" w:sz="2" w:space="0"/>
              <w:left w:val="double" w:color="auto" w:sz="2" w:space="0"/>
              <w:bottom w:val="single" w:color="auto" w:sz="4" w:space="0"/>
              <w:right w:val="single" w:color="auto" w:sz="4" w:space="0"/>
            </w:tcBorders>
            <w:vAlign w:val="center"/>
          </w:tcPr>
          <w:p w14:paraId="51582C7D">
            <w:pPr>
              <w:spacing w:line="280" w:lineRule="exact"/>
              <w:jc w:val="center"/>
              <w:rPr>
                <w:rFonts w:ascii="宋体" w:hAnsi="宋体" w:eastAsia="宋体"/>
                <w:b/>
                <w:szCs w:val="21"/>
              </w:rPr>
            </w:pPr>
            <w:r>
              <w:rPr>
                <w:rFonts w:hint="eastAsia" w:ascii="宋体" w:hAnsi="宋体" w:eastAsia="宋体"/>
                <w:b/>
                <w:szCs w:val="21"/>
              </w:rPr>
              <w:t>关联交</w:t>
            </w:r>
          </w:p>
          <w:p w14:paraId="7B7EC043">
            <w:pPr>
              <w:spacing w:line="280" w:lineRule="exact"/>
              <w:jc w:val="center"/>
              <w:rPr>
                <w:rFonts w:ascii="宋体" w:hAnsi="宋体" w:eastAsia="宋体"/>
                <w:b/>
                <w:szCs w:val="21"/>
              </w:rPr>
            </w:pPr>
            <w:r>
              <w:rPr>
                <w:rFonts w:hint="eastAsia" w:ascii="宋体" w:hAnsi="宋体" w:eastAsia="宋体"/>
                <w:b/>
                <w:szCs w:val="21"/>
              </w:rPr>
              <w:t>易类别</w:t>
            </w:r>
          </w:p>
        </w:tc>
        <w:tc>
          <w:tcPr>
            <w:tcW w:w="2882" w:type="dxa"/>
            <w:tcBorders>
              <w:top w:val="double" w:color="auto" w:sz="2" w:space="0"/>
              <w:left w:val="nil"/>
              <w:bottom w:val="single" w:color="auto" w:sz="4" w:space="0"/>
              <w:right w:val="single" w:color="auto" w:sz="4" w:space="0"/>
            </w:tcBorders>
            <w:vAlign w:val="center"/>
          </w:tcPr>
          <w:p w14:paraId="30109EC2">
            <w:pPr>
              <w:spacing w:line="280" w:lineRule="exact"/>
              <w:jc w:val="center"/>
              <w:rPr>
                <w:rFonts w:ascii="宋体" w:hAnsi="宋体" w:eastAsia="宋体"/>
                <w:b/>
                <w:szCs w:val="21"/>
              </w:rPr>
            </w:pPr>
            <w:r>
              <w:rPr>
                <w:rFonts w:hint="eastAsia" w:ascii="宋体" w:hAnsi="宋体" w:eastAsia="宋体"/>
                <w:b/>
                <w:szCs w:val="21"/>
              </w:rPr>
              <w:t>关联人</w:t>
            </w:r>
          </w:p>
        </w:tc>
        <w:tc>
          <w:tcPr>
            <w:tcW w:w="1662" w:type="dxa"/>
            <w:tcBorders>
              <w:top w:val="double" w:color="auto" w:sz="2" w:space="0"/>
              <w:left w:val="nil"/>
              <w:bottom w:val="single" w:color="auto" w:sz="4" w:space="0"/>
              <w:right w:val="single" w:color="auto" w:sz="4" w:space="0"/>
            </w:tcBorders>
            <w:vAlign w:val="center"/>
          </w:tcPr>
          <w:p w14:paraId="2CF7B3A9">
            <w:pPr>
              <w:spacing w:line="280" w:lineRule="exact"/>
              <w:jc w:val="center"/>
              <w:rPr>
                <w:rFonts w:ascii="宋体" w:hAnsi="宋体" w:eastAsia="宋体"/>
                <w:b/>
                <w:szCs w:val="21"/>
              </w:rPr>
            </w:pPr>
            <w:r>
              <w:rPr>
                <w:rFonts w:hint="eastAsia" w:ascii="宋体" w:hAnsi="宋体" w:eastAsia="宋体"/>
                <w:b/>
                <w:szCs w:val="21"/>
              </w:rPr>
              <w:t>2024年</w:t>
            </w:r>
          </w:p>
          <w:p w14:paraId="18B6A00A">
            <w:pPr>
              <w:spacing w:line="280" w:lineRule="exact"/>
              <w:jc w:val="center"/>
              <w:rPr>
                <w:rFonts w:ascii="宋体" w:hAnsi="宋体" w:eastAsia="宋体"/>
                <w:b/>
                <w:szCs w:val="21"/>
              </w:rPr>
            </w:pPr>
            <w:r>
              <w:rPr>
                <w:rFonts w:hint="eastAsia" w:ascii="宋体" w:hAnsi="宋体" w:eastAsia="宋体"/>
                <w:b/>
                <w:szCs w:val="21"/>
              </w:rPr>
              <w:t>预计金额</w:t>
            </w:r>
          </w:p>
        </w:tc>
        <w:tc>
          <w:tcPr>
            <w:tcW w:w="1579" w:type="dxa"/>
            <w:tcBorders>
              <w:top w:val="double" w:color="auto" w:sz="2" w:space="0"/>
              <w:left w:val="nil"/>
              <w:bottom w:val="single" w:color="auto" w:sz="4" w:space="0"/>
              <w:right w:val="single" w:color="auto" w:sz="4" w:space="0"/>
            </w:tcBorders>
            <w:vAlign w:val="center"/>
          </w:tcPr>
          <w:p w14:paraId="4AEB75A7">
            <w:pPr>
              <w:spacing w:line="280" w:lineRule="exact"/>
              <w:jc w:val="center"/>
              <w:rPr>
                <w:rFonts w:ascii="宋体" w:hAnsi="宋体" w:eastAsia="宋体"/>
                <w:b/>
                <w:szCs w:val="21"/>
              </w:rPr>
            </w:pPr>
            <w:r>
              <w:rPr>
                <w:rFonts w:hint="eastAsia" w:ascii="宋体" w:hAnsi="宋体" w:eastAsia="宋体"/>
                <w:b/>
                <w:szCs w:val="21"/>
              </w:rPr>
              <w:t>2024年实</w:t>
            </w:r>
          </w:p>
          <w:p w14:paraId="0822E7C3">
            <w:pPr>
              <w:spacing w:line="280" w:lineRule="exact"/>
              <w:jc w:val="center"/>
              <w:rPr>
                <w:rFonts w:ascii="宋体" w:hAnsi="宋体" w:eastAsia="宋体"/>
                <w:b/>
                <w:szCs w:val="21"/>
              </w:rPr>
            </w:pPr>
            <w:r>
              <w:rPr>
                <w:rFonts w:hint="eastAsia" w:ascii="宋体" w:hAnsi="宋体" w:eastAsia="宋体"/>
                <w:b/>
                <w:szCs w:val="21"/>
              </w:rPr>
              <w:t>际发生金额</w:t>
            </w:r>
          </w:p>
          <w:p w14:paraId="4CF2EDBB">
            <w:pPr>
              <w:spacing w:line="280" w:lineRule="exact"/>
              <w:jc w:val="center"/>
              <w:rPr>
                <w:rFonts w:ascii="宋体" w:hAnsi="宋体" w:eastAsia="宋体"/>
                <w:b/>
                <w:szCs w:val="21"/>
              </w:rPr>
            </w:pPr>
            <w:r>
              <w:rPr>
                <w:rFonts w:hint="eastAsia" w:ascii="宋体" w:hAnsi="宋体" w:eastAsia="宋体"/>
                <w:b/>
                <w:szCs w:val="21"/>
              </w:rPr>
              <w:t>（未经审计）</w:t>
            </w:r>
          </w:p>
        </w:tc>
        <w:tc>
          <w:tcPr>
            <w:tcW w:w="2434" w:type="dxa"/>
            <w:tcBorders>
              <w:top w:val="double" w:color="auto" w:sz="2" w:space="0"/>
              <w:left w:val="nil"/>
              <w:bottom w:val="single" w:color="auto" w:sz="4" w:space="0"/>
              <w:right w:val="double" w:color="auto" w:sz="2" w:space="0"/>
            </w:tcBorders>
            <w:vAlign w:val="center"/>
          </w:tcPr>
          <w:p w14:paraId="26457787">
            <w:pPr>
              <w:spacing w:line="280" w:lineRule="exact"/>
              <w:rPr>
                <w:rFonts w:ascii="宋体" w:hAnsi="宋体" w:eastAsia="宋体"/>
                <w:b/>
                <w:szCs w:val="21"/>
              </w:rPr>
            </w:pPr>
            <w:r>
              <w:rPr>
                <w:rFonts w:hint="eastAsia" w:ascii="宋体" w:hAnsi="宋体" w:eastAsia="宋体"/>
                <w:b/>
                <w:szCs w:val="21"/>
              </w:rPr>
              <w:t>预计金额与实际发生金额差异较大的原因</w:t>
            </w:r>
          </w:p>
        </w:tc>
      </w:tr>
      <w:tr w14:paraId="1AA500B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77" w:type="dxa"/>
            <w:vMerge w:val="restart"/>
            <w:tcBorders>
              <w:top w:val="nil"/>
              <w:left w:val="double" w:color="auto" w:sz="2" w:space="0"/>
              <w:bottom w:val="single" w:color="auto" w:sz="4" w:space="0"/>
              <w:right w:val="single" w:color="auto" w:sz="4" w:space="0"/>
            </w:tcBorders>
            <w:vAlign w:val="center"/>
          </w:tcPr>
          <w:p w14:paraId="331EAB31">
            <w:pPr>
              <w:spacing w:line="280" w:lineRule="exact"/>
              <w:rPr>
                <w:rFonts w:ascii="宋体" w:hAnsi="宋体" w:eastAsia="宋体"/>
                <w:szCs w:val="21"/>
              </w:rPr>
            </w:pPr>
            <w:r>
              <w:rPr>
                <w:rFonts w:hint="eastAsia" w:ascii="宋体" w:hAnsi="宋体" w:eastAsia="宋体"/>
                <w:szCs w:val="21"/>
              </w:rPr>
              <w:t>从关联方采购产品、商品</w:t>
            </w:r>
          </w:p>
        </w:tc>
        <w:tc>
          <w:tcPr>
            <w:tcW w:w="2882" w:type="dxa"/>
            <w:tcBorders>
              <w:top w:val="single" w:color="auto" w:sz="4" w:space="0"/>
              <w:left w:val="nil"/>
              <w:bottom w:val="single" w:color="auto" w:sz="4" w:space="0"/>
              <w:right w:val="single" w:color="auto" w:sz="4" w:space="0"/>
            </w:tcBorders>
            <w:vAlign w:val="center"/>
          </w:tcPr>
          <w:p w14:paraId="1DB7FF1E">
            <w:pPr>
              <w:widowControl/>
              <w:jc w:val="left"/>
              <w:textAlignment w:val="center"/>
              <w:rPr>
                <w:rFonts w:ascii="宋体" w:hAnsi="宋体" w:eastAsia="宋体"/>
                <w:szCs w:val="21"/>
              </w:rPr>
            </w:pPr>
            <w:r>
              <w:rPr>
                <w:rFonts w:hint="eastAsia" w:ascii="宋体" w:hAnsi="宋体" w:eastAsia="宋体" w:cs="宋体"/>
                <w:color w:val="000000"/>
                <w:kern w:val="0"/>
                <w:szCs w:val="21"/>
                <w:lang w:bidi="ar"/>
              </w:rPr>
              <w:t>淮北矿业信盛国际贸易有限责任公司</w:t>
            </w:r>
          </w:p>
        </w:tc>
        <w:tc>
          <w:tcPr>
            <w:tcW w:w="1662" w:type="dxa"/>
            <w:tcBorders>
              <w:top w:val="single" w:color="auto" w:sz="4" w:space="0"/>
              <w:left w:val="nil"/>
              <w:bottom w:val="single" w:color="auto" w:sz="4" w:space="0"/>
              <w:right w:val="single" w:color="auto" w:sz="4" w:space="0"/>
            </w:tcBorders>
            <w:vAlign w:val="center"/>
          </w:tcPr>
          <w:p w14:paraId="62AF1E4B">
            <w:pPr>
              <w:widowControl/>
              <w:jc w:val="center"/>
              <w:textAlignment w:val="center"/>
              <w:rPr>
                <w:rFonts w:ascii="宋体" w:hAnsi="宋体" w:eastAsia="宋体"/>
                <w:szCs w:val="21"/>
              </w:rPr>
            </w:pPr>
            <w:r>
              <w:rPr>
                <w:rFonts w:hint="eastAsia" w:ascii="宋体" w:hAnsi="宋体" w:eastAsia="宋体" w:cs="宋体"/>
                <w:color w:val="000000"/>
                <w:kern w:val="0"/>
                <w:szCs w:val="21"/>
                <w:lang w:bidi="ar"/>
              </w:rPr>
              <w:t>6090.00</w:t>
            </w:r>
          </w:p>
        </w:tc>
        <w:tc>
          <w:tcPr>
            <w:tcW w:w="1579" w:type="dxa"/>
            <w:tcBorders>
              <w:top w:val="single" w:color="auto" w:sz="4" w:space="0"/>
              <w:left w:val="nil"/>
              <w:bottom w:val="single" w:color="auto" w:sz="4" w:space="0"/>
              <w:right w:val="single" w:color="auto" w:sz="4" w:space="0"/>
            </w:tcBorders>
            <w:vAlign w:val="center"/>
          </w:tcPr>
          <w:p w14:paraId="60E13544">
            <w:pPr>
              <w:widowControl/>
              <w:jc w:val="center"/>
              <w:textAlignment w:val="center"/>
              <w:rPr>
                <w:rFonts w:ascii="宋体" w:hAnsi="宋体" w:eastAsia="宋体"/>
                <w:szCs w:val="21"/>
              </w:rPr>
            </w:pPr>
            <w:r>
              <w:rPr>
                <w:rFonts w:hint="eastAsia" w:ascii="宋体" w:hAnsi="宋体" w:eastAsia="宋体" w:cs="宋体"/>
                <w:color w:val="000000"/>
                <w:kern w:val="0"/>
                <w:szCs w:val="21"/>
                <w:lang w:bidi="ar"/>
              </w:rPr>
              <w:t xml:space="preserve">1703.13 </w:t>
            </w:r>
          </w:p>
        </w:tc>
        <w:tc>
          <w:tcPr>
            <w:tcW w:w="2434" w:type="dxa"/>
            <w:tcBorders>
              <w:top w:val="single" w:color="auto" w:sz="4" w:space="0"/>
              <w:left w:val="nil"/>
              <w:bottom w:val="single" w:color="auto" w:sz="4" w:space="0"/>
              <w:right w:val="double" w:color="auto" w:sz="2" w:space="0"/>
            </w:tcBorders>
            <w:vAlign w:val="center"/>
          </w:tcPr>
          <w:p w14:paraId="78197A4D">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部分业务未实际发生</w:t>
            </w:r>
          </w:p>
        </w:tc>
      </w:tr>
      <w:tr w14:paraId="6B7485C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vMerge w:val="continue"/>
            <w:tcBorders>
              <w:top w:val="nil"/>
              <w:left w:val="double" w:color="auto" w:sz="2" w:space="0"/>
              <w:bottom w:val="single" w:color="auto" w:sz="4" w:space="0"/>
              <w:right w:val="single" w:color="auto" w:sz="4" w:space="0"/>
            </w:tcBorders>
            <w:vAlign w:val="center"/>
          </w:tcPr>
          <w:p w14:paraId="5BEBA93D">
            <w:pPr>
              <w:widowControl/>
              <w:jc w:val="left"/>
              <w:rPr>
                <w:rFonts w:ascii="宋体" w:hAnsi="宋体" w:eastAsia="宋体" w:cs="Calibri"/>
                <w:szCs w:val="21"/>
              </w:rPr>
            </w:pPr>
          </w:p>
        </w:tc>
        <w:tc>
          <w:tcPr>
            <w:tcW w:w="2882" w:type="dxa"/>
            <w:tcBorders>
              <w:top w:val="single" w:color="auto" w:sz="4" w:space="0"/>
              <w:left w:val="nil"/>
              <w:bottom w:val="single" w:color="auto" w:sz="4" w:space="0"/>
              <w:right w:val="single" w:color="auto" w:sz="4" w:space="0"/>
            </w:tcBorders>
            <w:vAlign w:val="center"/>
          </w:tcPr>
          <w:p w14:paraId="6905F6EC">
            <w:pPr>
              <w:widowControl/>
              <w:jc w:val="left"/>
              <w:textAlignment w:val="center"/>
              <w:rPr>
                <w:rFonts w:ascii="宋体" w:hAnsi="宋体" w:eastAsia="宋体"/>
                <w:szCs w:val="21"/>
              </w:rPr>
            </w:pPr>
            <w:r>
              <w:rPr>
                <w:rFonts w:hint="eastAsia" w:ascii="宋体" w:hAnsi="宋体" w:eastAsia="宋体" w:cs="宋体"/>
                <w:color w:val="000000"/>
                <w:kern w:val="0"/>
                <w:szCs w:val="21"/>
                <w:lang w:bidi="ar"/>
              </w:rPr>
              <w:t>淮北矿业股份有限公司</w:t>
            </w:r>
          </w:p>
        </w:tc>
        <w:tc>
          <w:tcPr>
            <w:tcW w:w="1662" w:type="dxa"/>
            <w:tcBorders>
              <w:top w:val="single" w:color="auto" w:sz="4" w:space="0"/>
              <w:left w:val="nil"/>
              <w:bottom w:val="single" w:color="auto" w:sz="4" w:space="0"/>
              <w:right w:val="single" w:color="auto" w:sz="4" w:space="0"/>
            </w:tcBorders>
            <w:vAlign w:val="center"/>
          </w:tcPr>
          <w:p w14:paraId="1F2C23FB">
            <w:pPr>
              <w:widowControl/>
              <w:jc w:val="center"/>
              <w:textAlignment w:val="center"/>
              <w:rPr>
                <w:rFonts w:ascii="宋体" w:hAnsi="宋体" w:eastAsia="宋体"/>
                <w:szCs w:val="21"/>
              </w:rPr>
            </w:pPr>
            <w:r>
              <w:rPr>
                <w:rFonts w:hint="eastAsia" w:ascii="宋体" w:hAnsi="宋体" w:eastAsia="宋体" w:cs="宋体"/>
                <w:color w:val="000000"/>
                <w:kern w:val="0"/>
                <w:szCs w:val="21"/>
                <w:lang w:bidi="ar"/>
              </w:rPr>
              <w:t>43000.00</w:t>
            </w:r>
          </w:p>
        </w:tc>
        <w:tc>
          <w:tcPr>
            <w:tcW w:w="1579" w:type="dxa"/>
            <w:tcBorders>
              <w:top w:val="single" w:color="auto" w:sz="4" w:space="0"/>
              <w:left w:val="nil"/>
              <w:bottom w:val="single" w:color="auto" w:sz="4" w:space="0"/>
              <w:right w:val="single" w:color="auto" w:sz="4" w:space="0"/>
            </w:tcBorders>
            <w:vAlign w:val="center"/>
          </w:tcPr>
          <w:p w14:paraId="46367A85">
            <w:pPr>
              <w:widowControl/>
              <w:jc w:val="center"/>
              <w:textAlignment w:val="center"/>
              <w:rPr>
                <w:rFonts w:ascii="宋体" w:hAnsi="宋体" w:eastAsia="宋体"/>
                <w:szCs w:val="21"/>
              </w:rPr>
            </w:pPr>
            <w:r>
              <w:rPr>
                <w:rFonts w:hint="eastAsia" w:ascii="宋体" w:hAnsi="宋体" w:eastAsia="宋体" w:cs="宋体"/>
                <w:color w:val="000000"/>
                <w:kern w:val="0"/>
                <w:szCs w:val="21"/>
                <w:lang w:bidi="ar"/>
              </w:rPr>
              <w:t xml:space="preserve">33798.00 </w:t>
            </w:r>
          </w:p>
        </w:tc>
        <w:tc>
          <w:tcPr>
            <w:tcW w:w="2434" w:type="dxa"/>
            <w:tcBorders>
              <w:top w:val="single" w:color="auto" w:sz="4" w:space="0"/>
              <w:left w:val="nil"/>
              <w:bottom w:val="single" w:color="auto" w:sz="4" w:space="0"/>
              <w:right w:val="double" w:color="auto" w:sz="2" w:space="0"/>
            </w:tcBorders>
            <w:vAlign w:val="center"/>
          </w:tcPr>
          <w:p w14:paraId="57B7646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实际发生量减少</w:t>
            </w:r>
          </w:p>
        </w:tc>
      </w:tr>
      <w:tr w14:paraId="29077637">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vMerge w:val="continue"/>
            <w:tcBorders>
              <w:top w:val="nil"/>
              <w:left w:val="double" w:color="auto" w:sz="2" w:space="0"/>
              <w:bottom w:val="single" w:color="auto" w:sz="4" w:space="0"/>
              <w:right w:val="single" w:color="auto" w:sz="4" w:space="0"/>
            </w:tcBorders>
            <w:vAlign w:val="center"/>
          </w:tcPr>
          <w:p w14:paraId="3E2ECE74">
            <w:pPr>
              <w:widowControl/>
              <w:jc w:val="left"/>
              <w:rPr>
                <w:rFonts w:ascii="宋体" w:hAnsi="宋体" w:eastAsia="宋体" w:cs="Calibri"/>
                <w:szCs w:val="21"/>
              </w:rPr>
            </w:pPr>
          </w:p>
        </w:tc>
        <w:tc>
          <w:tcPr>
            <w:tcW w:w="2882" w:type="dxa"/>
            <w:tcBorders>
              <w:top w:val="single" w:color="auto" w:sz="4" w:space="0"/>
              <w:left w:val="nil"/>
              <w:bottom w:val="single" w:color="auto" w:sz="4" w:space="0"/>
              <w:right w:val="single" w:color="auto" w:sz="4" w:space="0"/>
            </w:tcBorders>
            <w:vAlign w:val="center"/>
          </w:tcPr>
          <w:p w14:paraId="48056E46">
            <w:pPr>
              <w:widowControl/>
              <w:jc w:val="left"/>
              <w:textAlignment w:val="center"/>
              <w:rPr>
                <w:rFonts w:ascii="宋体" w:hAnsi="宋体" w:eastAsia="宋体"/>
                <w:szCs w:val="21"/>
              </w:rPr>
            </w:pPr>
            <w:r>
              <w:rPr>
                <w:rFonts w:hint="eastAsia" w:ascii="宋体" w:hAnsi="宋体" w:eastAsia="宋体" w:cs="宋体"/>
                <w:color w:val="000000"/>
                <w:kern w:val="0"/>
                <w:szCs w:val="21"/>
                <w:lang w:bidi="ar"/>
              </w:rPr>
              <w:t>临涣焦化股份有限公司</w:t>
            </w:r>
          </w:p>
        </w:tc>
        <w:tc>
          <w:tcPr>
            <w:tcW w:w="1662" w:type="dxa"/>
            <w:tcBorders>
              <w:top w:val="single" w:color="auto" w:sz="4" w:space="0"/>
              <w:left w:val="nil"/>
              <w:bottom w:val="single" w:color="auto" w:sz="4" w:space="0"/>
              <w:right w:val="single" w:color="auto" w:sz="4" w:space="0"/>
            </w:tcBorders>
            <w:vAlign w:val="center"/>
          </w:tcPr>
          <w:p w14:paraId="7F889C3A">
            <w:pPr>
              <w:widowControl/>
              <w:jc w:val="center"/>
              <w:textAlignment w:val="center"/>
              <w:rPr>
                <w:rFonts w:ascii="宋体" w:hAnsi="宋体" w:eastAsia="宋体"/>
                <w:szCs w:val="21"/>
              </w:rPr>
            </w:pPr>
            <w:r>
              <w:rPr>
                <w:rFonts w:hint="eastAsia" w:ascii="宋体" w:hAnsi="宋体" w:eastAsia="宋体" w:cs="宋体"/>
                <w:color w:val="000000"/>
                <w:kern w:val="0"/>
                <w:szCs w:val="21"/>
                <w:lang w:bidi="ar"/>
              </w:rPr>
              <w:t>18000.00</w:t>
            </w:r>
          </w:p>
        </w:tc>
        <w:tc>
          <w:tcPr>
            <w:tcW w:w="1579" w:type="dxa"/>
            <w:tcBorders>
              <w:top w:val="single" w:color="auto" w:sz="4" w:space="0"/>
              <w:left w:val="nil"/>
              <w:bottom w:val="single" w:color="auto" w:sz="4" w:space="0"/>
              <w:right w:val="single" w:color="auto" w:sz="4" w:space="0"/>
            </w:tcBorders>
            <w:vAlign w:val="center"/>
          </w:tcPr>
          <w:p w14:paraId="63309745">
            <w:pPr>
              <w:widowControl/>
              <w:jc w:val="center"/>
              <w:textAlignment w:val="center"/>
              <w:rPr>
                <w:rFonts w:ascii="宋体" w:hAnsi="宋体" w:eastAsia="宋体"/>
                <w:szCs w:val="21"/>
              </w:rPr>
            </w:pPr>
            <w:r>
              <w:rPr>
                <w:rFonts w:hint="eastAsia" w:ascii="宋体" w:hAnsi="宋体" w:eastAsia="宋体" w:cs="宋体"/>
                <w:color w:val="000000"/>
                <w:kern w:val="0"/>
                <w:szCs w:val="21"/>
                <w:lang w:bidi="ar"/>
              </w:rPr>
              <w:t xml:space="preserve">5954.50 </w:t>
            </w:r>
          </w:p>
        </w:tc>
        <w:tc>
          <w:tcPr>
            <w:tcW w:w="2434" w:type="dxa"/>
            <w:tcBorders>
              <w:top w:val="single" w:color="auto" w:sz="4" w:space="0"/>
              <w:left w:val="nil"/>
              <w:bottom w:val="single" w:color="auto" w:sz="4" w:space="0"/>
              <w:right w:val="double" w:color="auto" w:sz="2" w:space="0"/>
            </w:tcBorders>
            <w:vAlign w:val="center"/>
          </w:tcPr>
          <w:p w14:paraId="6119226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实际业务减少</w:t>
            </w:r>
          </w:p>
        </w:tc>
      </w:tr>
      <w:tr w14:paraId="728B3D1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vMerge w:val="continue"/>
            <w:tcBorders>
              <w:top w:val="nil"/>
              <w:left w:val="double" w:color="auto" w:sz="2" w:space="0"/>
              <w:bottom w:val="single" w:color="auto" w:sz="4" w:space="0"/>
              <w:right w:val="single" w:color="auto" w:sz="4" w:space="0"/>
            </w:tcBorders>
            <w:vAlign w:val="center"/>
          </w:tcPr>
          <w:p w14:paraId="1CE64599">
            <w:pPr>
              <w:widowControl/>
              <w:jc w:val="left"/>
              <w:rPr>
                <w:rFonts w:ascii="宋体" w:hAnsi="宋体" w:eastAsia="宋体" w:cs="Calibri"/>
                <w:szCs w:val="21"/>
              </w:rPr>
            </w:pPr>
          </w:p>
        </w:tc>
        <w:tc>
          <w:tcPr>
            <w:tcW w:w="2882" w:type="dxa"/>
            <w:tcBorders>
              <w:top w:val="single" w:color="auto" w:sz="4" w:space="0"/>
              <w:left w:val="nil"/>
              <w:bottom w:val="single" w:color="auto" w:sz="4" w:space="0"/>
              <w:right w:val="single" w:color="auto" w:sz="4" w:space="0"/>
            </w:tcBorders>
            <w:vAlign w:val="center"/>
          </w:tcPr>
          <w:p w14:paraId="2D23F725">
            <w:pPr>
              <w:widowControl/>
              <w:jc w:val="left"/>
              <w:textAlignment w:val="center"/>
              <w:rPr>
                <w:rFonts w:ascii="宋体" w:hAnsi="宋体" w:eastAsia="宋体"/>
                <w:szCs w:val="21"/>
              </w:rPr>
            </w:pPr>
            <w:r>
              <w:rPr>
                <w:rFonts w:hint="eastAsia" w:ascii="宋体" w:hAnsi="宋体" w:eastAsia="宋体" w:cs="宋体"/>
                <w:color w:val="000000"/>
                <w:kern w:val="0"/>
                <w:szCs w:val="21"/>
                <w:lang w:bidi="ar"/>
              </w:rPr>
              <w:t>淮北矿业（海南）投资发展有限公司</w:t>
            </w:r>
          </w:p>
        </w:tc>
        <w:tc>
          <w:tcPr>
            <w:tcW w:w="1662" w:type="dxa"/>
            <w:tcBorders>
              <w:top w:val="single" w:color="auto" w:sz="4" w:space="0"/>
              <w:left w:val="nil"/>
              <w:bottom w:val="single" w:color="auto" w:sz="4" w:space="0"/>
              <w:right w:val="single" w:color="auto" w:sz="4" w:space="0"/>
            </w:tcBorders>
            <w:vAlign w:val="center"/>
          </w:tcPr>
          <w:p w14:paraId="4D3AEBA1">
            <w:pPr>
              <w:widowControl/>
              <w:jc w:val="center"/>
              <w:textAlignment w:val="center"/>
              <w:rPr>
                <w:rFonts w:ascii="宋体" w:hAnsi="宋体" w:eastAsia="宋体"/>
                <w:szCs w:val="21"/>
              </w:rPr>
            </w:pPr>
            <w:r>
              <w:rPr>
                <w:rFonts w:hint="eastAsia" w:ascii="宋体" w:hAnsi="宋体" w:eastAsia="宋体" w:cs="宋体"/>
                <w:color w:val="000000"/>
                <w:kern w:val="0"/>
                <w:szCs w:val="21"/>
                <w:lang w:bidi="ar"/>
              </w:rPr>
              <w:t>5000.00</w:t>
            </w:r>
          </w:p>
        </w:tc>
        <w:tc>
          <w:tcPr>
            <w:tcW w:w="1579" w:type="dxa"/>
            <w:tcBorders>
              <w:top w:val="single" w:color="auto" w:sz="4" w:space="0"/>
              <w:left w:val="nil"/>
              <w:bottom w:val="single" w:color="auto" w:sz="4" w:space="0"/>
              <w:right w:val="single" w:color="auto" w:sz="4" w:space="0"/>
            </w:tcBorders>
            <w:vAlign w:val="center"/>
          </w:tcPr>
          <w:p w14:paraId="6EDC0ED6">
            <w:pPr>
              <w:widowControl/>
              <w:jc w:val="center"/>
              <w:textAlignment w:val="center"/>
              <w:rPr>
                <w:rFonts w:ascii="宋体" w:hAnsi="宋体" w:eastAsia="宋体"/>
                <w:szCs w:val="21"/>
              </w:rPr>
            </w:pPr>
            <w:r>
              <w:rPr>
                <w:rFonts w:hint="eastAsia" w:ascii="宋体" w:hAnsi="宋体" w:eastAsia="宋体" w:cs="宋体"/>
                <w:color w:val="000000"/>
                <w:kern w:val="0"/>
                <w:szCs w:val="21"/>
                <w:lang w:bidi="ar"/>
              </w:rPr>
              <w:t xml:space="preserve">3207.90 </w:t>
            </w:r>
          </w:p>
        </w:tc>
        <w:tc>
          <w:tcPr>
            <w:tcW w:w="2434" w:type="dxa"/>
            <w:tcBorders>
              <w:top w:val="single" w:color="auto" w:sz="4" w:space="0"/>
              <w:left w:val="nil"/>
              <w:bottom w:val="single" w:color="auto" w:sz="4" w:space="0"/>
              <w:right w:val="double" w:color="auto" w:sz="2" w:space="0"/>
            </w:tcBorders>
            <w:vAlign w:val="center"/>
          </w:tcPr>
          <w:p w14:paraId="0582E4C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实际业务减少</w:t>
            </w:r>
          </w:p>
        </w:tc>
      </w:tr>
      <w:tr w14:paraId="4CC6232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vMerge w:val="continue"/>
            <w:tcBorders>
              <w:top w:val="nil"/>
              <w:left w:val="double" w:color="auto" w:sz="2" w:space="0"/>
              <w:bottom w:val="single" w:color="auto" w:sz="4" w:space="0"/>
              <w:right w:val="single" w:color="auto" w:sz="4" w:space="0"/>
            </w:tcBorders>
            <w:vAlign w:val="center"/>
          </w:tcPr>
          <w:p w14:paraId="06B6BA2E">
            <w:pPr>
              <w:widowControl/>
              <w:jc w:val="left"/>
              <w:rPr>
                <w:rFonts w:ascii="宋体" w:hAnsi="宋体" w:eastAsia="宋体" w:cs="Calibri"/>
                <w:szCs w:val="21"/>
              </w:rPr>
            </w:pPr>
          </w:p>
        </w:tc>
        <w:tc>
          <w:tcPr>
            <w:tcW w:w="2882" w:type="dxa"/>
            <w:tcBorders>
              <w:top w:val="single" w:color="auto" w:sz="4" w:space="0"/>
              <w:left w:val="nil"/>
              <w:bottom w:val="single" w:color="auto" w:sz="4" w:space="0"/>
              <w:right w:val="single" w:color="auto" w:sz="4" w:space="0"/>
            </w:tcBorders>
            <w:vAlign w:val="center"/>
          </w:tcPr>
          <w:p w14:paraId="616028AF">
            <w:pPr>
              <w:widowControl/>
              <w:jc w:val="left"/>
              <w:textAlignment w:val="center"/>
              <w:rPr>
                <w:rFonts w:ascii="宋体" w:hAnsi="宋体" w:eastAsia="宋体"/>
                <w:szCs w:val="21"/>
              </w:rPr>
            </w:pPr>
            <w:r>
              <w:rPr>
                <w:rFonts w:hint="eastAsia" w:ascii="宋体" w:hAnsi="宋体" w:eastAsia="宋体" w:cs="宋体"/>
                <w:color w:val="000000"/>
                <w:kern w:val="0"/>
                <w:szCs w:val="21"/>
                <w:lang w:bidi="ar"/>
              </w:rPr>
              <w:t>淮北矿业集团（滁州）华塑物流有限公司宁波大榭分公司</w:t>
            </w:r>
          </w:p>
        </w:tc>
        <w:tc>
          <w:tcPr>
            <w:tcW w:w="1662" w:type="dxa"/>
            <w:tcBorders>
              <w:top w:val="single" w:color="auto" w:sz="4" w:space="0"/>
              <w:left w:val="nil"/>
              <w:bottom w:val="single" w:color="auto" w:sz="4" w:space="0"/>
              <w:right w:val="single" w:color="auto" w:sz="4" w:space="0"/>
            </w:tcBorders>
            <w:vAlign w:val="center"/>
          </w:tcPr>
          <w:p w14:paraId="7EC25516">
            <w:pPr>
              <w:widowControl/>
              <w:jc w:val="center"/>
              <w:textAlignment w:val="center"/>
              <w:rPr>
                <w:rFonts w:ascii="宋体" w:hAnsi="宋体" w:eastAsia="宋体"/>
                <w:szCs w:val="21"/>
              </w:rPr>
            </w:pPr>
            <w:r>
              <w:rPr>
                <w:rFonts w:hint="eastAsia" w:ascii="宋体" w:hAnsi="宋体" w:eastAsia="宋体" w:cs="宋体"/>
                <w:color w:val="000000"/>
                <w:kern w:val="0"/>
                <w:szCs w:val="21"/>
                <w:lang w:bidi="ar"/>
              </w:rPr>
              <w:t>6400.00</w:t>
            </w:r>
          </w:p>
        </w:tc>
        <w:tc>
          <w:tcPr>
            <w:tcW w:w="1579" w:type="dxa"/>
            <w:tcBorders>
              <w:top w:val="single" w:color="auto" w:sz="4" w:space="0"/>
              <w:left w:val="nil"/>
              <w:bottom w:val="single" w:color="auto" w:sz="4" w:space="0"/>
              <w:right w:val="single" w:color="auto" w:sz="4" w:space="0"/>
            </w:tcBorders>
            <w:vAlign w:val="center"/>
          </w:tcPr>
          <w:p w14:paraId="2B14D0A6">
            <w:pPr>
              <w:widowControl/>
              <w:jc w:val="center"/>
              <w:textAlignment w:val="center"/>
              <w:rPr>
                <w:rFonts w:ascii="宋体" w:hAnsi="宋体" w:eastAsia="宋体"/>
                <w:szCs w:val="21"/>
              </w:rPr>
            </w:pPr>
            <w:r>
              <w:rPr>
                <w:rFonts w:hint="eastAsia" w:ascii="宋体" w:hAnsi="宋体" w:eastAsia="宋体" w:cs="宋体"/>
                <w:color w:val="000000"/>
                <w:kern w:val="0"/>
                <w:szCs w:val="21"/>
                <w:lang w:bidi="ar"/>
              </w:rPr>
              <w:t xml:space="preserve">4697.82 </w:t>
            </w:r>
          </w:p>
        </w:tc>
        <w:tc>
          <w:tcPr>
            <w:tcW w:w="2434" w:type="dxa"/>
            <w:tcBorders>
              <w:top w:val="single" w:color="auto" w:sz="4" w:space="0"/>
              <w:left w:val="nil"/>
              <w:bottom w:val="single" w:color="auto" w:sz="4" w:space="0"/>
              <w:right w:val="double" w:color="auto" w:sz="2" w:space="0"/>
            </w:tcBorders>
            <w:vAlign w:val="center"/>
          </w:tcPr>
          <w:p w14:paraId="66BB981D">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实际业务减少</w:t>
            </w:r>
          </w:p>
        </w:tc>
      </w:tr>
      <w:tr w14:paraId="678A78D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vMerge w:val="continue"/>
            <w:tcBorders>
              <w:top w:val="nil"/>
              <w:left w:val="double" w:color="auto" w:sz="2" w:space="0"/>
              <w:bottom w:val="single" w:color="auto" w:sz="4" w:space="0"/>
              <w:right w:val="single" w:color="auto" w:sz="4" w:space="0"/>
            </w:tcBorders>
            <w:vAlign w:val="center"/>
          </w:tcPr>
          <w:p w14:paraId="4BFE394D">
            <w:pPr>
              <w:widowControl/>
              <w:jc w:val="left"/>
              <w:rPr>
                <w:rFonts w:ascii="宋体" w:hAnsi="宋体" w:eastAsia="宋体" w:cs="Calibri"/>
                <w:szCs w:val="21"/>
              </w:rPr>
            </w:pPr>
          </w:p>
        </w:tc>
        <w:tc>
          <w:tcPr>
            <w:tcW w:w="2882" w:type="dxa"/>
            <w:tcBorders>
              <w:top w:val="single" w:color="auto" w:sz="4" w:space="0"/>
              <w:left w:val="nil"/>
              <w:bottom w:val="single" w:color="auto" w:sz="4" w:space="0"/>
              <w:right w:val="single" w:color="auto" w:sz="4" w:space="0"/>
            </w:tcBorders>
            <w:vAlign w:val="center"/>
          </w:tcPr>
          <w:p w14:paraId="5C39D917">
            <w:pPr>
              <w:widowControl/>
              <w:spacing w:line="280" w:lineRule="exact"/>
              <w:jc w:val="center"/>
              <w:rPr>
                <w:rFonts w:ascii="宋体" w:hAnsi="宋体" w:eastAsia="宋体"/>
                <w:szCs w:val="21"/>
              </w:rPr>
            </w:pPr>
            <w:r>
              <w:rPr>
                <w:rFonts w:hint="eastAsia" w:ascii="宋体" w:hAnsi="宋体" w:eastAsia="宋体"/>
                <w:szCs w:val="21"/>
              </w:rPr>
              <w:t>小计</w:t>
            </w:r>
          </w:p>
        </w:tc>
        <w:tc>
          <w:tcPr>
            <w:tcW w:w="1662" w:type="dxa"/>
            <w:tcBorders>
              <w:top w:val="single" w:color="auto" w:sz="4" w:space="0"/>
              <w:left w:val="nil"/>
              <w:bottom w:val="single" w:color="auto" w:sz="4" w:space="0"/>
              <w:right w:val="single" w:color="auto" w:sz="4" w:space="0"/>
            </w:tcBorders>
            <w:vAlign w:val="center"/>
          </w:tcPr>
          <w:p w14:paraId="48ACCF0B">
            <w:pPr>
              <w:widowControl/>
              <w:jc w:val="center"/>
              <w:textAlignment w:val="center"/>
              <w:rPr>
                <w:rFonts w:ascii="宋体" w:hAnsi="宋体" w:eastAsia="宋体"/>
                <w:szCs w:val="21"/>
              </w:rPr>
            </w:pPr>
            <w:r>
              <w:rPr>
                <w:rFonts w:hint="eastAsia" w:ascii="宋体" w:hAnsi="宋体" w:eastAsia="宋体" w:cs="宋体"/>
                <w:b/>
                <w:bCs/>
                <w:color w:val="000000"/>
                <w:kern w:val="0"/>
                <w:szCs w:val="21"/>
                <w:lang w:bidi="ar"/>
              </w:rPr>
              <w:t>78490.00</w:t>
            </w:r>
          </w:p>
        </w:tc>
        <w:tc>
          <w:tcPr>
            <w:tcW w:w="1579" w:type="dxa"/>
            <w:tcBorders>
              <w:top w:val="single" w:color="auto" w:sz="4" w:space="0"/>
              <w:left w:val="nil"/>
              <w:bottom w:val="single" w:color="auto" w:sz="4" w:space="0"/>
              <w:right w:val="single" w:color="auto" w:sz="4" w:space="0"/>
            </w:tcBorders>
            <w:shd w:val="clear" w:color="auto" w:fill="auto"/>
            <w:vAlign w:val="center"/>
          </w:tcPr>
          <w:p w14:paraId="1AB66FD9">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 xml:space="preserve">49361.35 </w:t>
            </w:r>
          </w:p>
        </w:tc>
        <w:tc>
          <w:tcPr>
            <w:tcW w:w="2434" w:type="dxa"/>
            <w:tcBorders>
              <w:top w:val="single" w:color="auto" w:sz="4" w:space="0"/>
              <w:left w:val="nil"/>
              <w:bottom w:val="single" w:color="auto" w:sz="4" w:space="0"/>
              <w:right w:val="double" w:color="auto" w:sz="2" w:space="0"/>
            </w:tcBorders>
            <w:vAlign w:val="center"/>
          </w:tcPr>
          <w:p w14:paraId="5A663FC8">
            <w:pPr>
              <w:widowControl/>
              <w:jc w:val="left"/>
              <w:textAlignment w:val="center"/>
              <w:rPr>
                <w:rFonts w:ascii="宋体" w:hAnsi="宋体" w:eastAsia="宋体" w:cs="宋体"/>
                <w:color w:val="000000"/>
                <w:kern w:val="0"/>
                <w:szCs w:val="21"/>
                <w:lang w:bidi="ar"/>
              </w:rPr>
            </w:pPr>
          </w:p>
        </w:tc>
      </w:tr>
      <w:tr w14:paraId="5295E9F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vMerge w:val="restart"/>
            <w:tcBorders>
              <w:top w:val="nil"/>
              <w:left w:val="double" w:color="auto" w:sz="2" w:space="0"/>
              <w:bottom w:val="single" w:color="auto" w:sz="4" w:space="0"/>
              <w:right w:val="single" w:color="auto" w:sz="4" w:space="0"/>
            </w:tcBorders>
            <w:vAlign w:val="center"/>
          </w:tcPr>
          <w:p w14:paraId="644E89AC">
            <w:pPr>
              <w:spacing w:line="280" w:lineRule="exact"/>
              <w:rPr>
                <w:rFonts w:ascii="宋体" w:hAnsi="宋体" w:eastAsia="宋体"/>
                <w:szCs w:val="21"/>
              </w:rPr>
            </w:pPr>
            <w:r>
              <w:rPr>
                <w:rFonts w:hint="eastAsia" w:ascii="宋体" w:hAnsi="宋体" w:eastAsia="宋体"/>
                <w:szCs w:val="21"/>
              </w:rPr>
              <w:t>从关联方接受服务</w:t>
            </w:r>
          </w:p>
        </w:tc>
        <w:tc>
          <w:tcPr>
            <w:tcW w:w="2882" w:type="dxa"/>
            <w:tcBorders>
              <w:top w:val="single" w:color="auto" w:sz="4" w:space="0"/>
              <w:left w:val="nil"/>
              <w:bottom w:val="single" w:color="auto" w:sz="4" w:space="0"/>
              <w:right w:val="single" w:color="auto" w:sz="4" w:space="0"/>
            </w:tcBorders>
            <w:vAlign w:val="center"/>
          </w:tcPr>
          <w:p w14:paraId="421E92AD">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中国成达工程有限公司</w:t>
            </w:r>
          </w:p>
        </w:tc>
        <w:tc>
          <w:tcPr>
            <w:tcW w:w="1662" w:type="dxa"/>
            <w:tcBorders>
              <w:top w:val="single" w:color="auto" w:sz="4" w:space="0"/>
              <w:left w:val="nil"/>
              <w:bottom w:val="single" w:color="auto" w:sz="4" w:space="0"/>
              <w:right w:val="single" w:color="auto" w:sz="4" w:space="0"/>
            </w:tcBorders>
            <w:vAlign w:val="center"/>
          </w:tcPr>
          <w:p w14:paraId="3D24664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50.00</w:t>
            </w:r>
          </w:p>
        </w:tc>
        <w:tc>
          <w:tcPr>
            <w:tcW w:w="1579" w:type="dxa"/>
            <w:tcBorders>
              <w:top w:val="single" w:color="auto" w:sz="4" w:space="0"/>
              <w:left w:val="nil"/>
              <w:bottom w:val="single" w:color="auto" w:sz="4" w:space="0"/>
              <w:right w:val="single" w:color="auto" w:sz="4" w:space="0"/>
            </w:tcBorders>
            <w:shd w:val="clear" w:color="auto" w:fill="auto"/>
            <w:vAlign w:val="center"/>
          </w:tcPr>
          <w:p w14:paraId="609DA56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2434" w:type="dxa"/>
            <w:tcBorders>
              <w:top w:val="single" w:color="auto" w:sz="4" w:space="0"/>
              <w:left w:val="nil"/>
              <w:bottom w:val="single" w:color="auto" w:sz="4" w:space="0"/>
              <w:right w:val="double" w:color="auto" w:sz="2" w:space="0"/>
            </w:tcBorders>
            <w:shd w:val="clear" w:color="auto" w:fill="auto"/>
            <w:vAlign w:val="center"/>
          </w:tcPr>
          <w:p w14:paraId="06F763B7">
            <w:pPr>
              <w:widowControl/>
              <w:jc w:val="left"/>
              <w:textAlignment w:val="center"/>
              <w:rPr>
                <w:rFonts w:ascii="宋体" w:hAnsi="宋体" w:eastAsia="宋体" w:cs="宋体"/>
                <w:color w:val="000000"/>
                <w:kern w:val="0"/>
                <w:szCs w:val="21"/>
                <w:lang w:bidi="ar"/>
              </w:rPr>
            </w:pPr>
          </w:p>
        </w:tc>
      </w:tr>
      <w:tr w14:paraId="0671507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77" w:type="dxa"/>
            <w:vMerge w:val="continue"/>
            <w:tcBorders>
              <w:top w:val="nil"/>
              <w:left w:val="double" w:color="auto" w:sz="2" w:space="0"/>
              <w:bottom w:val="single" w:color="auto" w:sz="4" w:space="0"/>
              <w:right w:val="single" w:color="auto" w:sz="4" w:space="0"/>
            </w:tcBorders>
            <w:vAlign w:val="center"/>
          </w:tcPr>
          <w:p w14:paraId="23C504FA">
            <w:pPr>
              <w:widowControl/>
              <w:jc w:val="left"/>
              <w:rPr>
                <w:rFonts w:ascii="宋体" w:hAnsi="宋体" w:eastAsia="宋体" w:cs="Calibri"/>
                <w:szCs w:val="21"/>
              </w:rPr>
            </w:pPr>
          </w:p>
        </w:tc>
        <w:tc>
          <w:tcPr>
            <w:tcW w:w="2882" w:type="dxa"/>
            <w:tcBorders>
              <w:top w:val="single" w:color="auto" w:sz="4" w:space="0"/>
              <w:left w:val="nil"/>
              <w:bottom w:val="single" w:color="auto" w:sz="4" w:space="0"/>
              <w:right w:val="single" w:color="auto" w:sz="4" w:space="0"/>
            </w:tcBorders>
            <w:vAlign w:val="center"/>
          </w:tcPr>
          <w:p w14:paraId="4FE3DBD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安徽丰和农业有限公司</w:t>
            </w:r>
          </w:p>
        </w:tc>
        <w:tc>
          <w:tcPr>
            <w:tcW w:w="1662" w:type="dxa"/>
            <w:tcBorders>
              <w:top w:val="single" w:color="auto" w:sz="4" w:space="0"/>
              <w:left w:val="nil"/>
              <w:bottom w:val="single" w:color="auto" w:sz="4" w:space="0"/>
              <w:right w:val="single" w:color="auto" w:sz="4" w:space="0"/>
            </w:tcBorders>
            <w:vAlign w:val="center"/>
          </w:tcPr>
          <w:p w14:paraId="555E86C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147.00</w:t>
            </w:r>
          </w:p>
        </w:tc>
        <w:tc>
          <w:tcPr>
            <w:tcW w:w="1579" w:type="dxa"/>
            <w:tcBorders>
              <w:top w:val="single" w:color="auto" w:sz="4" w:space="0"/>
              <w:left w:val="nil"/>
              <w:bottom w:val="single" w:color="auto" w:sz="4" w:space="0"/>
              <w:right w:val="single" w:color="auto" w:sz="4" w:space="0"/>
            </w:tcBorders>
            <w:shd w:val="clear" w:color="auto" w:fill="auto"/>
            <w:vAlign w:val="center"/>
          </w:tcPr>
          <w:p w14:paraId="611DCB9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90.27 </w:t>
            </w:r>
          </w:p>
        </w:tc>
        <w:tc>
          <w:tcPr>
            <w:tcW w:w="2434" w:type="dxa"/>
            <w:tcBorders>
              <w:top w:val="single" w:color="auto" w:sz="4" w:space="0"/>
              <w:left w:val="nil"/>
              <w:bottom w:val="single" w:color="auto" w:sz="4" w:space="0"/>
              <w:right w:val="double" w:color="auto" w:sz="2" w:space="0"/>
            </w:tcBorders>
            <w:vAlign w:val="center"/>
          </w:tcPr>
          <w:p w14:paraId="68E49B99">
            <w:pPr>
              <w:widowControl/>
              <w:jc w:val="left"/>
              <w:textAlignment w:val="center"/>
              <w:rPr>
                <w:rFonts w:ascii="宋体" w:hAnsi="宋体" w:eastAsia="宋体" w:cs="宋体"/>
                <w:color w:val="000000"/>
                <w:kern w:val="0"/>
                <w:szCs w:val="21"/>
                <w:lang w:bidi="ar"/>
              </w:rPr>
            </w:pPr>
          </w:p>
        </w:tc>
      </w:tr>
      <w:tr w14:paraId="66C9B4F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vMerge w:val="continue"/>
            <w:tcBorders>
              <w:top w:val="nil"/>
              <w:left w:val="double" w:color="auto" w:sz="2" w:space="0"/>
              <w:bottom w:val="single" w:color="auto" w:sz="4" w:space="0"/>
              <w:right w:val="single" w:color="auto" w:sz="4" w:space="0"/>
            </w:tcBorders>
            <w:vAlign w:val="center"/>
          </w:tcPr>
          <w:p w14:paraId="53038873">
            <w:pPr>
              <w:widowControl/>
              <w:jc w:val="left"/>
              <w:rPr>
                <w:rFonts w:ascii="宋体" w:hAnsi="宋体" w:eastAsia="宋体" w:cs="Calibri"/>
                <w:szCs w:val="21"/>
              </w:rPr>
            </w:pPr>
          </w:p>
        </w:tc>
        <w:tc>
          <w:tcPr>
            <w:tcW w:w="2882" w:type="dxa"/>
            <w:tcBorders>
              <w:top w:val="single" w:color="auto" w:sz="4" w:space="0"/>
              <w:left w:val="nil"/>
              <w:bottom w:val="single" w:color="auto" w:sz="4" w:space="0"/>
              <w:right w:val="single" w:color="auto" w:sz="4" w:space="0"/>
            </w:tcBorders>
            <w:vAlign w:val="center"/>
          </w:tcPr>
          <w:p w14:paraId="74C96AA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安徽雷鸣爆破工程有限责任公司无为分公司</w:t>
            </w:r>
          </w:p>
        </w:tc>
        <w:tc>
          <w:tcPr>
            <w:tcW w:w="1662" w:type="dxa"/>
            <w:tcBorders>
              <w:top w:val="single" w:color="auto" w:sz="4" w:space="0"/>
              <w:left w:val="nil"/>
              <w:bottom w:val="single" w:color="auto" w:sz="4" w:space="0"/>
              <w:right w:val="single" w:color="auto" w:sz="4" w:space="0"/>
            </w:tcBorders>
            <w:vAlign w:val="center"/>
          </w:tcPr>
          <w:p w14:paraId="413C1F2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15000.00</w:t>
            </w:r>
          </w:p>
        </w:tc>
        <w:tc>
          <w:tcPr>
            <w:tcW w:w="1579" w:type="dxa"/>
            <w:tcBorders>
              <w:top w:val="single" w:color="auto" w:sz="4" w:space="0"/>
              <w:left w:val="nil"/>
              <w:bottom w:val="single" w:color="auto" w:sz="4" w:space="0"/>
              <w:right w:val="single" w:color="auto" w:sz="4" w:space="0"/>
            </w:tcBorders>
            <w:shd w:val="clear" w:color="auto" w:fill="auto"/>
            <w:vAlign w:val="center"/>
          </w:tcPr>
          <w:p w14:paraId="79B12BD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15883.96 </w:t>
            </w:r>
          </w:p>
        </w:tc>
        <w:tc>
          <w:tcPr>
            <w:tcW w:w="2434" w:type="dxa"/>
            <w:tcBorders>
              <w:top w:val="single" w:color="auto" w:sz="4" w:space="0"/>
              <w:left w:val="nil"/>
              <w:bottom w:val="single" w:color="auto" w:sz="4" w:space="0"/>
              <w:right w:val="double" w:color="auto" w:sz="2" w:space="0"/>
            </w:tcBorders>
            <w:vAlign w:val="center"/>
          </w:tcPr>
          <w:p w14:paraId="48B26D75">
            <w:pPr>
              <w:widowControl/>
              <w:jc w:val="left"/>
              <w:textAlignment w:val="center"/>
              <w:rPr>
                <w:rFonts w:ascii="宋体" w:hAnsi="宋体" w:eastAsia="宋体" w:cs="宋体"/>
                <w:color w:val="000000"/>
                <w:kern w:val="0"/>
                <w:szCs w:val="21"/>
                <w:lang w:bidi="ar"/>
              </w:rPr>
            </w:pPr>
          </w:p>
        </w:tc>
      </w:tr>
      <w:tr w14:paraId="2FC0B8B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vMerge w:val="continue"/>
            <w:tcBorders>
              <w:top w:val="nil"/>
              <w:left w:val="double" w:color="auto" w:sz="2" w:space="0"/>
              <w:bottom w:val="single" w:color="auto" w:sz="4" w:space="0"/>
              <w:right w:val="single" w:color="auto" w:sz="4" w:space="0"/>
            </w:tcBorders>
            <w:vAlign w:val="center"/>
          </w:tcPr>
          <w:p w14:paraId="4E4F02D6">
            <w:pPr>
              <w:widowControl/>
              <w:jc w:val="left"/>
              <w:rPr>
                <w:rFonts w:ascii="宋体" w:hAnsi="宋体" w:eastAsia="宋体" w:cs="Calibri"/>
                <w:szCs w:val="21"/>
              </w:rPr>
            </w:pPr>
          </w:p>
        </w:tc>
        <w:tc>
          <w:tcPr>
            <w:tcW w:w="2882" w:type="dxa"/>
            <w:tcBorders>
              <w:top w:val="single" w:color="auto" w:sz="4" w:space="0"/>
              <w:left w:val="nil"/>
              <w:bottom w:val="single" w:color="auto" w:sz="4" w:space="0"/>
              <w:right w:val="single" w:color="auto" w:sz="4" w:space="0"/>
            </w:tcBorders>
            <w:vAlign w:val="center"/>
          </w:tcPr>
          <w:p w14:paraId="3EF482B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淮北矿业集团供应链科技有限公司</w:t>
            </w:r>
          </w:p>
        </w:tc>
        <w:tc>
          <w:tcPr>
            <w:tcW w:w="1662" w:type="dxa"/>
            <w:tcBorders>
              <w:top w:val="single" w:color="auto" w:sz="4" w:space="0"/>
              <w:left w:val="nil"/>
              <w:bottom w:val="single" w:color="auto" w:sz="4" w:space="0"/>
              <w:right w:val="single" w:color="auto" w:sz="4" w:space="0"/>
            </w:tcBorders>
            <w:vAlign w:val="center"/>
          </w:tcPr>
          <w:p w14:paraId="3A7367C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6501.32</w:t>
            </w:r>
          </w:p>
        </w:tc>
        <w:tc>
          <w:tcPr>
            <w:tcW w:w="1579" w:type="dxa"/>
            <w:tcBorders>
              <w:top w:val="single" w:color="auto" w:sz="4" w:space="0"/>
              <w:left w:val="nil"/>
              <w:bottom w:val="single" w:color="auto" w:sz="4" w:space="0"/>
              <w:right w:val="single" w:color="auto" w:sz="4" w:space="0"/>
            </w:tcBorders>
            <w:shd w:val="clear" w:color="auto" w:fill="auto"/>
            <w:vAlign w:val="center"/>
          </w:tcPr>
          <w:p w14:paraId="4507617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2723.18 </w:t>
            </w:r>
          </w:p>
        </w:tc>
        <w:tc>
          <w:tcPr>
            <w:tcW w:w="2434" w:type="dxa"/>
            <w:tcBorders>
              <w:top w:val="single" w:color="auto" w:sz="4" w:space="0"/>
              <w:left w:val="nil"/>
              <w:bottom w:val="single" w:color="auto" w:sz="4" w:space="0"/>
              <w:right w:val="double" w:color="auto" w:sz="2" w:space="0"/>
            </w:tcBorders>
            <w:shd w:val="clear" w:color="auto" w:fill="auto"/>
            <w:vAlign w:val="center"/>
          </w:tcPr>
          <w:p w14:paraId="506F8B7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新产品暂未投入市场，因此暂未产生新产品运输费。</w:t>
            </w:r>
          </w:p>
        </w:tc>
      </w:tr>
      <w:tr w14:paraId="6CAFCC07">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vMerge w:val="continue"/>
            <w:tcBorders>
              <w:top w:val="nil"/>
              <w:left w:val="double" w:color="auto" w:sz="2" w:space="0"/>
              <w:bottom w:val="single" w:color="auto" w:sz="4" w:space="0"/>
              <w:right w:val="single" w:color="auto" w:sz="4" w:space="0"/>
            </w:tcBorders>
            <w:vAlign w:val="center"/>
          </w:tcPr>
          <w:p w14:paraId="34B85151">
            <w:pPr>
              <w:widowControl/>
              <w:jc w:val="left"/>
              <w:rPr>
                <w:rFonts w:ascii="宋体" w:hAnsi="宋体" w:eastAsia="宋体" w:cs="Calibri"/>
                <w:szCs w:val="21"/>
              </w:rPr>
            </w:pPr>
          </w:p>
        </w:tc>
        <w:tc>
          <w:tcPr>
            <w:tcW w:w="2882" w:type="dxa"/>
            <w:tcBorders>
              <w:top w:val="single" w:color="auto" w:sz="4" w:space="0"/>
              <w:left w:val="nil"/>
              <w:bottom w:val="single" w:color="auto" w:sz="4" w:space="0"/>
              <w:right w:val="single" w:color="auto" w:sz="4" w:space="0"/>
            </w:tcBorders>
            <w:vAlign w:val="center"/>
          </w:tcPr>
          <w:p w14:paraId="4FE1E2B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淮北矿业集团（滁州）华塑物流有限公司</w:t>
            </w:r>
          </w:p>
        </w:tc>
        <w:tc>
          <w:tcPr>
            <w:tcW w:w="1662" w:type="dxa"/>
            <w:tcBorders>
              <w:top w:val="single" w:color="auto" w:sz="4" w:space="0"/>
              <w:left w:val="nil"/>
              <w:bottom w:val="single" w:color="auto" w:sz="4" w:space="0"/>
              <w:right w:val="single" w:color="auto" w:sz="4" w:space="0"/>
            </w:tcBorders>
            <w:vAlign w:val="center"/>
          </w:tcPr>
          <w:p w14:paraId="2D7FC72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5908.38</w:t>
            </w:r>
          </w:p>
        </w:tc>
        <w:tc>
          <w:tcPr>
            <w:tcW w:w="1579" w:type="dxa"/>
            <w:tcBorders>
              <w:top w:val="single" w:color="auto" w:sz="4" w:space="0"/>
              <w:left w:val="nil"/>
              <w:bottom w:val="single" w:color="auto" w:sz="4" w:space="0"/>
              <w:right w:val="single" w:color="auto" w:sz="4" w:space="0"/>
            </w:tcBorders>
            <w:shd w:val="clear" w:color="auto" w:fill="auto"/>
            <w:vAlign w:val="center"/>
          </w:tcPr>
          <w:p w14:paraId="6F1DE55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5635.88 </w:t>
            </w:r>
          </w:p>
        </w:tc>
        <w:tc>
          <w:tcPr>
            <w:tcW w:w="2434" w:type="dxa"/>
            <w:tcBorders>
              <w:top w:val="single" w:color="auto" w:sz="4" w:space="0"/>
              <w:left w:val="nil"/>
              <w:bottom w:val="single" w:color="auto" w:sz="4" w:space="0"/>
              <w:right w:val="double" w:color="auto" w:sz="2" w:space="0"/>
            </w:tcBorders>
            <w:vAlign w:val="center"/>
          </w:tcPr>
          <w:p w14:paraId="6D1421DF">
            <w:pPr>
              <w:widowControl/>
              <w:jc w:val="left"/>
              <w:textAlignment w:val="center"/>
              <w:rPr>
                <w:rFonts w:ascii="宋体" w:hAnsi="宋体" w:eastAsia="宋体" w:cs="宋体"/>
                <w:color w:val="000000"/>
                <w:kern w:val="0"/>
                <w:szCs w:val="21"/>
                <w:lang w:bidi="ar"/>
              </w:rPr>
            </w:pPr>
          </w:p>
        </w:tc>
      </w:tr>
      <w:tr w14:paraId="670AAA9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vMerge w:val="continue"/>
            <w:tcBorders>
              <w:top w:val="nil"/>
              <w:left w:val="double" w:color="auto" w:sz="2" w:space="0"/>
              <w:bottom w:val="single" w:color="auto" w:sz="4" w:space="0"/>
              <w:right w:val="single" w:color="auto" w:sz="4" w:space="0"/>
            </w:tcBorders>
            <w:vAlign w:val="center"/>
          </w:tcPr>
          <w:p w14:paraId="15EC54A4">
            <w:pPr>
              <w:widowControl/>
              <w:jc w:val="left"/>
              <w:rPr>
                <w:rFonts w:ascii="宋体" w:hAnsi="宋体" w:eastAsia="宋体" w:cs="Calibri"/>
                <w:szCs w:val="21"/>
              </w:rPr>
            </w:pPr>
          </w:p>
        </w:tc>
        <w:tc>
          <w:tcPr>
            <w:tcW w:w="2882" w:type="dxa"/>
            <w:tcBorders>
              <w:top w:val="single" w:color="auto" w:sz="4" w:space="0"/>
              <w:left w:val="nil"/>
              <w:bottom w:val="single" w:color="auto" w:sz="4" w:space="0"/>
              <w:right w:val="single" w:color="auto" w:sz="4" w:space="0"/>
            </w:tcBorders>
            <w:vAlign w:val="center"/>
          </w:tcPr>
          <w:p w14:paraId="5ADD2BA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淮北矿业（集团）有限责任公司及其下属公司 注1</w:t>
            </w:r>
          </w:p>
        </w:tc>
        <w:tc>
          <w:tcPr>
            <w:tcW w:w="1662" w:type="dxa"/>
            <w:tcBorders>
              <w:top w:val="single" w:color="auto" w:sz="4" w:space="0"/>
              <w:left w:val="nil"/>
              <w:bottom w:val="single" w:color="auto" w:sz="4" w:space="0"/>
              <w:right w:val="single" w:color="auto" w:sz="4" w:space="0"/>
            </w:tcBorders>
            <w:shd w:val="clear" w:color="auto" w:fill="auto"/>
            <w:vAlign w:val="center"/>
          </w:tcPr>
          <w:p w14:paraId="0582D02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4118.82</w:t>
            </w:r>
          </w:p>
        </w:tc>
        <w:tc>
          <w:tcPr>
            <w:tcW w:w="1579" w:type="dxa"/>
            <w:tcBorders>
              <w:top w:val="single" w:color="auto" w:sz="4" w:space="0"/>
              <w:left w:val="nil"/>
              <w:bottom w:val="single" w:color="auto" w:sz="4" w:space="0"/>
              <w:right w:val="single" w:color="auto" w:sz="4" w:space="0"/>
            </w:tcBorders>
            <w:shd w:val="clear" w:color="auto" w:fill="auto"/>
            <w:vAlign w:val="center"/>
          </w:tcPr>
          <w:p w14:paraId="7CDCEA2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6479.96 </w:t>
            </w:r>
          </w:p>
        </w:tc>
        <w:tc>
          <w:tcPr>
            <w:tcW w:w="2434" w:type="dxa"/>
            <w:tcBorders>
              <w:top w:val="single" w:color="auto" w:sz="4" w:space="0"/>
              <w:left w:val="nil"/>
              <w:bottom w:val="single" w:color="auto" w:sz="4" w:space="0"/>
              <w:right w:val="double" w:color="auto" w:sz="2" w:space="0"/>
            </w:tcBorders>
            <w:vAlign w:val="center"/>
          </w:tcPr>
          <w:p w14:paraId="73A776E2">
            <w:pPr>
              <w:widowControl/>
              <w:jc w:val="left"/>
              <w:textAlignment w:val="center"/>
              <w:rPr>
                <w:rFonts w:ascii="宋体" w:hAnsi="宋体" w:eastAsia="宋体" w:cs="宋体"/>
                <w:color w:val="000000"/>
                <w:kern w:val="0"/>
                <w:szCs w:val="21"/>
                <w:lang w:bidi="ar"/>
              </w:rPr>
            </w:pPr>
          </w:p>
        </w:tc>
      </w:tr>
      <w:tr w14:paraId="68686EB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477" w:type="dxa"/>
            <w:vMerge w:val="continue"/>
            <w:tcBorders>
              <w:top w:val="nil"/>
              <w:left w:val="double" w:color="auto" w:sz="2" w:space="0"/>
              <w:bottom w:val="single" w:color="auto" w:sz="4" w:space="0"/>
              <w:right w:val="single" w:color="auto" w:sz="4" w:space="0"/>
            </w:tcBorders>
            <w:vAlign w:val="center"/>
          </w:tcPr>
          <w:p w14:paraId="7F9DCB34">
            <w:pPr>
              <w:widowControl/>
              <w:jc w:val="left"/>
              <w:rPr>
                <w:rFonts w:ascii="宋体" w:hAnsi="宋体" w:eastAsia="宋体" w:cs="Calibri"/>
                <w:szCs w:val="21"/>
              </w:rPr>
            </w:pPr>
          </w:p>
        </w:tc>
        <w:tc>
          <w:tcPr>
            <w:tcW w:w="2882" w:type="dxa"/>
            <w:tcBorders>
              <w:top w:val="single" w:color="auto" w:sz="4" w:space="0"/>
              <w:left w:val="nil"/>
              <w:bottom w:val="single" w:color="auto" w:sz="4" w:space="0"/>
              <w:right w:val="single" w:color="auto" w:sz="4" w:space="0"/>
            </w:tcBorders>
            <w:vAlign w:val="center"/>
          </w:tcPr>
          <w:p w14:paraId="08E57A3D">
            <w:pPr>
              <w:widowControl/>
              <w:spacing w:line="280" w:lineRule="exact"/>
              <w:jc w:val="center"/>
              <w:rPr>
                <w:rFonts w:ascii="宋体" w:hAnsi="宋体" w:eastAsia="宋体"/>
                <w:szCs w:val="21"/>
              </w:rPr>
            </w:pPr>
            <w:r>
              <w:rPr>
                <w:rFonts w:hint="eastAsia" w:ascii="宋体" w:hAnsi="宋体" w:eastAsia="宋体"/>
                <w:szCs w:val="21"/>
              </w:rPr>
              <w:t>小计</w:t>
            </w:r>
          </w:p>
        </w:tc>
        <w:tc>
          <w:tcPr>
            <w:tcW w:w="1662" w:type="dxa"/>
            <w:tcBorders>
              <w:top w:val="single" w:color="auto" w:sz="4" w:space="0"/>
              <w:left w:val="nil"/>
              <w:bottom w:val="single" w:color="auto" w:sz="4" w:space="0"/>
              <w:right w:val="single" w:color="auto" w:sz="4" w:space="0"/>
            </w:tcBorders>
            <w:shd w:val="clear" w:color="auto" w:fill="auto"/>
            <w:vAlign w:val="center"/>
          </w:tcPr>
          <w:p w14:paraId="20513B7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31725.52</w:t>
            </w:r>
          </w:p>
        </w:tc>
        <w:tc>
          <w:tcPr>
            <w:tcW w:w="1579" w:type="dxa"/>
            <w:tcBorders>
              <w:top w:val="single" w:color="auto" w:sz="4" w:space="0"/>
              <w:left w:val="nil"/>
              <w:bottom w:val="single" w:color="auto" w:sz="4" w:space="0"/>
              <w:right w:val="single" w:color="auto" w:sz="4" w:space="0"/>
            </w:tcBorders>
            <w:shd w:val="clear" w:color="auto" w:fill="auto"/>
            <w:vAlign w:val="center"/>
          </w:tcPr>
          <w:p w14:paraId="2712F95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 xml:space="preserve">30813.25 </w:t>
            </w:r>
          </w:p>
        </w:tc>
        <w:tc>
          <w:tcPr>
            <w:tcW w:w="2434" w:type="dxa"/>
            <w:tcBorders>
              <w:top w:val="single" w:color="auto" w:sz="4" w:space="0"/>
              <w:left w:val="nil"/>
              <w:bottom w:val="single" w:color="auto" w:sz="4" w:space="0"/>
              <w:right w:val="double" w:color="auto" w:sz="2" w:space="0"/>
            </w:tcBorders>
            <w:vAlign w:val="center"/>
          </w:tcPr>
          <w:p w14:paraId="1FDA6456">
            <w:pPr>
              <w:widowControl/>
              <w:jc w:val="left"/>
              <w:textAlignment w:val="center"/>
              <w:rPr>
                <w:rFonts w:ascii="宋体" w:hAnsi="宋体" w:eastAsia="宋体" w:cs="宋体"/>
                <w:color w:val="000000"/>
                <w:kern w:val="0"/>
                <w:szCs w:val="21"/>
                <w:lang w:bidi="ar"/>
              </w:rPr>
            </w:pPr>
          </w:p>
        </w:tc>
      </w:tr>
      <w:tr w14:paraId="20862C8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vMerge w:val="restart"/>
            <w:tcBorders>
              <w:top w:val="nil"/>
              <w:left w:val="double" w:color="auto" w:sz="2" w:space="0"/>
              <w:bottom w:val="single" w:color="auto" w:sz="4" w:space="0"/>
              <w:right w:val="single" w:color="auto" w:sz="4" w:space="0"/>
            </w:tcBorders>
            <w:vAlign w:val="center"/>
          </w:tcPr>
          <w:p w14:paraId="6E21DB78">
            <w:pPr>
              <w:spacing w:line="280" w:lineRule="exact"/>
              <w:rPr>
                <w:rFonts w:ascii="宋体" w:hAnsi="宋体" w:eastAsia="宋体"/>
                <w:szCs w:val="21"/>
              </w:rPr>
            </w:pPr>
            <w:r>
              <w:rPr>
                <w:rFonts w:hint="eastAsia" w:ascii="宋体" w:hAnsi="宋体" w:eastAsia="宋体"/>
                <w:szCs w:val="21"/>
              </w:rPr>
              <w:t>向关联方销售产品、商品</w:t>
            </w:r>
          </w:p>
        </w:tc>
        <w:tc>
          <w:tcPr>
            <w:tcW w:w="2882" w:type="dxa"/>
            <w:tcBorders>
              <w:top w:val="single" w:color="auto" w:sz="4" w:space="0"/>
              <w:left w:val="nil"/>
              <w:bottom w:val="single" w:color="auto" w:sz="4" w:space="0"/>
              <w:right w:val="single" w:color="auto" w:sz="4" w:space="0"/>
            </w:tcBorders>
            <w:vAlign w:val="center"/>
          </w:tcPr>
          <w:p w14:paraId="1BB2B12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淮北矿业（集团）有限责任公司及其下属公司 </w:t>
            </w:r>
          </w:p>
        </w:tc>
        <w:tc>
          <w:tcPr>
            <w:tcW w:w="1662" w:type="dxa"/>
            <w:tcBorders>
              <w:top w:val="single" w:color="auto" w:sz="4" w:space="0"/>
              <w:left w:val="nil"/>
              <w:bottom w:val="single" w:color="auto" w:sz="4" w:space="0"/>
              <w:right w:val="single" w:color="auto" w:sz="4" w:space="0"/>
            </w:tcBorders>
            <w:vAlign w:val="center"/>
          </w:tcPr>
          <w:p w14:paraId="06BD159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3253.48</w:t>
            </w:r>
          </w:p>
        </w:tc>
        <w:tc>
          <w:tcPr>
            <w:tcW w:w="1579" w:type="dxa"/>
            <w:tcBorders>
              <w:top w:val="single" w:color="auto" w:sz="4" w:space="0"/>
              <w:left w:val="nil"/>
              <w:bottom w:val="single" w:color="auto" w:sz="4" w:space="0"/>
              <w:right w:val="single" w:color="auto" w:sz="4" w:space="0"/>
            </w:tcBorders>
            <w:shd w:val="clear" w:color="auto" w:fill="auto"/>
            <w:vAlign w:val="center"/>
          </w:tcPr>
          <w:p w14:paraId="4CC8F4D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2165.70 </w:t>
            </w:r>
          </w:p>
        </w:tc>
        <w:tc>
          <w:tcPr>
            <w:tcW w:w="2434" w:type="dxa"/>
            <w:tcBorders>
              <w:top w:val="single" w:color="auto" w:sz="4" w:space="0"/>
              <w:left w:val="nil"/>
              <w:bottom w:val="single" w:color="auto" w:sz="4" w:space="0"/>
              <w:right w:val="double" w:color="auto" w:sz="2" w:space="0"/>
            </w:tcBorders>
            <w:shd w:val="clear" w:color="auto" w:fill="auto"/>
            <w:vAlign w:val="center"/>
          </w:tcPr>
          <w:p w14:paraId="5C45E82E">
            <w:pPr>
              <w:widowControl/>
              <w:jc w:val="left"/>
              <w:textAlignment w:val="center"/>
              <w:rPr>
                <w:rFonts w:ascii="宋体" w:hAnsi="宋体" w:eastAsia="宋体" w:cs="宋体"/>
                <w:color w:val="000000"/>
                <w:kern w:val="0"/>
                <w:szCs w:val="21"/>
                <w:lang w:bidi="ar"/>
              </w:rPr>
            </w:pPr>
          </w:p>
        </w:tc>
      </w:tr>
      <w:tr w14:paraId="4B2E25E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vMerge w:val="continue"/>
            <w:tcBorders>
              <w:top w:val="nil"/>
              <w:left w:val="double" w:color="auto" w:sz="2" w:space="0"/>
              <w:bottom w:val="single" w:color="auto" w:sz="4" w:space="0"/>
              <w:right w:val="single" w:color="auto" w:sz="4" w:space="0"/>
            </w:tcBorders>
            <w:vAlign w:val="center"/>
          </w:tcPr>
          <w:p w14:paraId="50779EE4">
            <w:pPr>
              <w:widowControl/>
              <w:jc w:val="left"/>
              <w:rPr>
                <w:rFonts w:ascii="宋体" w:hAnsi="宋体" w:eastAsia="宋体" w:cs="Calibri"/>
                <w:szCs w:val="21"/>
              </w:rPr>
            </w:pPr>
          </w:p>
        </w:tc>
        <w:tc>
          <w:tcPr>
            <w:tcW w:w="2882" w:type="dxa"/>
            <w:tcBorders>
              <w:top w:val="single" w:color="auto" w:sz="4" w:space="0"/>
              <w:left w:val="nil"/>
              <w:bottom w:val="single" w:color="auto" w:sz="4" w:space="0"/>
              <w:right w:val="single" w:color="auto" w:sz="4" w:space="0"/>
            </w:tcBorders>
            <w:vAlign w:val="center"/>
          </w:tcPr>
          <w:p w14:paraId="4BAC98E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安徽省安庆市曙光化工股份有限公司</w:t>
            </w:r>
          </w:p>
        </w:tc>
        <w:tc>
          <w:tcPr>
            <w:tcW w:w="1662" w:type="dxa"/>
            <w:tcBorders>
              <w:top w:val="single" w:color="auto" w:sz="4" w:space="0"/>
              <w:left w:val="nil"/>
              <w:bottom w:val="single" w:color="auto" w:sz="4" w:space="0"/>
              <w:right w:val="single" w:color="auto" w:sz="4" w:space="0"/>
            </w:tcBorders>
            <w:vAlign w:val="center"/>
          </w:tcPr>
          <w:p w14:paraId="246B838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12000.00</w:t>
            </w:r>
          </w:p>
        </w:tc>
        <w:tc>
          <w:tcPr>
            <w:tcW w:w="1579" w:type="dxa"/>
            <w:tcBorders>
              <w:top w:val="single" w:color="auto" w:sz="4" w:space="0"/>
              <w:left w:val="nil"/>
              <w:bottom w:val="single" w:color="auto" w:sz="4" w:space="0"/>
              <w:right w:val="single" w:color="auto" w:sz="4" w:space="0"/>
            </w:tcBorders>
            <w:vAlign w:val="center"/>
          </w:tcPr>
          <w:p w14:paraId="57E2B29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7246.93</w:t>
            </w:r>
          </w:p>
        </w:tc>
        <w:tc>
          <w:tcPr>
            <w:tcW w:w="2434" w:type="dxa"/>
            <w:tcBorders>
              <w:top w:val="single" w:color="auto" w:sz="4" w:space="0"/>
              <w:left w:val="nil"/>
              <w:bottom w:val="single" w:color="auto" w:sz="4" w:space="0"/>
              <w:right w:val="double" w:color="auto" w:sz="2" w:space="0"/>
            </w:tcBorders>
            <w:shd w:val="clear" w:color="auto" w:fill="auto"/>
            <w:vAlign w:val="center"/>
          </w:tcPr>
          <w:p w14:paraId="0B23E2B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市场行情波动，金额有所浮动</w:t>
            </w:r>
          </w:p>
        </w:tc>
      </w:tr>
      <w:tr w14:paraId="03E3B69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7" w:type="dxa"/>
            <w:vMerge w:val="continue"/>
            <w:tcBorders>
              <w:top w:val="nil"/>
              <w:left w:val="double" w:color="auto" w:sz="2" w:space="0"/>
              <w:bottom w:val="single" w:color="auto" w:sz="4" w:space="0"/>
              <w:right w:val="single" w:color="auto" w:sz="4" w:space="0"/>
            </w:tcBorders>
            <w:vAlign w:val="center"/>
          </w:tcPr>
          <w:p w14:paraId="119A054C">
            <w:pPr>
              <w:widowControl/>
              <w:jc w:val="left"/>
              <w:rPr>
                <w:rFonts w:ascii="宋体" w:hAnsi="宋体" w:eastAsia="宋体" w:cs="Calibri"/>
                <w:szCs w:val="21"/>
              </w:rPr>
            </w:pPr>
          </w:p>
        </w:tc>
        <w:tc>
          <w:tcPr>
            <w:tcW w:w="2882" w:type="dxa"/>
            <w:tcBorders>
              <w:top w:val="single" w:color="auto" w:sz="4" w:space="0"/>
              <w:left w:val="nil"/>
              <w:bottom w:val="single" w:color="auto" w:sz="4" w:space="0"/>
              <w:right w:val="single" w:color="auto" w:sz="4" w:space="0"/>
            </w:tcBorders>
            <w:vAlign w:val="center"/>
          </w:tcPr>
          <w:p w14:paraId="6177C461">
            <w:pPr>
              <w:widowControl/>
              <w:jc w:val="left"/>
              <w:textAlignment w:val="center"/>
              <w:rPr>
                <w:rFonts w:ascii="宋体" w:hAnsi="宋体" w:eastAsia="宋体"/>
                <w:szCs w:val="21"/>
              </w:rPr>
            </w:pPr>
            <w:r>
              <w:rPr>
                <w:rFonts w:hint="eastAsia" w:ascii="宋体" w:hAnsi="宋体" w:eastAsia="宋体" w:cs="宋体"/>
                <w:color w:val="000000"/>
                <w:kern w:val="0"/>
                <w:szCs w:val="21"/>
                <w:lang w:bidi="ar"/>
              </w:rPr>
              <w:t>淮北矿业集团大榭能源化工有限公司</w:t>
            </w:r>
          </w:p>
        </w:tc>
        <w:tc>
          <w:tcPr>
            <w:tcW w:w="1662" w:type="dxa"/>
            <w:tcBorders>
              <w:top w:val="single" w:color="auto" w:sz="4" w:space="0"/>
              <w:left w:val="nil"/>
              <w:bottom w:val="single" w:color="auto" w:sz="4" w:space="0"/>
              <w:right w:val="single" w:color="auto" w:sz="4" w:space="0"/>
            </w:tcBorders>
            <w:vAlign w:val="center"/>
          </w:tcPr>
          <w:p w14:paraId="0C8F13C3">
            <w:pPr>
              <w:widowControl/>
              <w:jc w:val="center"/>
              <w:textAlignment w:val="center"/>
              <w:rPr>
                <w:rFonts w:ascii="宋体" w:hAnsi="宋体" w:eastAsia="宋体"/>
                <w:szCs w:val="21"/>
              </w:rPr>
            </w:pPr>
            <w:r>
              <w:rPr>
                <w:rFonts w:hint="eastAsia" w:ascii="宋体" w:hAnsi="宋体" w:eastAsia="宋体" w:cs="宋体"/>
                <w:color w:val="000000"/>
                <w:kern w:val="0"/>
                <w:szCs w:val="21"/>
                <w:lang w:bidi="ar"/>
              </w:rPr>
              <w:t>5000.00</w:t>
            </w:r>
          </w:p>
        </w:tc>
        <w:tc>
          <w:tcPr>
            <w:tcW w:w="1579" w:type="dxa"/>
            <w:tcBorders>
              <w:top w:val="single" w:color="auto" w:sz="4" w:space="0"/>
              <w:left w:val="nil"/>
              <w:bottom w:val="single" w:color="auto" w:sz="4" w:space="0"/>
              <w:right w:val="single" w:color="auto" w:sz="4" w:space="0"/>
            </w:tcBorders>
            <w:vAlign w:val="center"/>
          </w:tcPr>
          <w:p w14:paraId="31A4090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0.00</w:t>
            </w:r>
          </w:p>
        </w:tc>
        <w:tc>
          <w:tcPr>
            <w:tcW w:w="2434" w:type="dxa"/>
            <w:tcBorders>
              <w:top w:val="single" w:color="auto" w:sz="4" w:space="0"/>
              <w:left w:val="nil"/>
              <w:bottom w:val="single" w:color="auto" w:sz="4" w:space="0"/>
              <w:right w:val="double" w:color="auto" w:sz="2" w:space="0"/>
            </w:tcBorders>
            <w:shd w:val="clear" w:color="auto" w:fill="auto"/>
            <w:vAlign w:val="center"/>
          </w:tcPr>
          <w:p w14:paraId="4096D14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业务未实际发生</w:t>
            </w:r>
          </w:p>
        </w:tc>
      </w:tr>
      <w:tr w14:paraId="43CDB17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vMerge w:val="continue"/>
            <w:tcBorders>
              <w:top w:val="nil"/>
              <w:left w:val="double" w:color="auto" w:sz="2" w:space="0"/>
              <w:bottom w:val="single" w:color="auto" w:sz="4" w:space="0"/>
              <w:right w:val="single" w:color="auto" w:sz="4" w:space="0"/>
            </w:tcBorders>
            <w:vAlign w:val="center"/>
          </w:tcPr>
          <w:p w14:paraId="7876D8BE">
            <w:pPr>
              <w:widowControl/>
              <w:jc w:val="left"/>
              <w:rPr>
                <w:rFonts w:ascii="宋体" w:hAnsi="宋体" w:eastAsia="宋体" w:cs="Calibri"/>
                <w:szCs w:val="21"/>
              </w:rPr>
            </w:pPr>
          </w:p>
        </w:tc>
        <w:tc>
          <w:tcPr>
            <w:tcW w:w="2882" w:type="dxa"/>
            <w:tcBorders>
              <w:top w:val="single" w:color="auto" w:sz="4" w:space="0"/>
              <w:left w:val="nil"/>
              <w:bottom w:val="single" w:color="auto" w:sz="4" w:space="0"/>
              <w:right w:val="single" w:color="auto" w:sz="4" w:space="0"/>
            </w:tcBorders>
            <w:vAlign w:val="center"/>
          </w:tcPr>
          <w:p w14:paraId="16E8B029">
            <w:pPr>
              <w:widowControl/>
              <w:spacing w:line="280" w:lineRule="exact"/>
              <w:rPr>
                <w:rFonts w:ascii="宋体" w:hAnsi="宋体" w:eastAsia="宋体"/>
                <w:szCs w:val="21"/>
              </w:rPr>
            </w:pPr>
            <w:r>
              <w:rPr>
                <w:rFonts w:hint="eastAsia" w:ascii="宋体" w:hAnsi="宋体" w:eastAsia="宋体"/>
                <w:szCs w:val="21"/>
              </w:rPr>
              <w:t>小计</w:t>
            </w:r>
          </w:p>
        </w:tc>
        <w:tc>
          <w:tcPr>
            <w:tcW w:w="1662" w:type="dxa"/>
            <w:tcBorders>
              <w:top w:val="single" w:color="auto" w:sz="4" w:space="0"/>
              <w:left w:val="nil"/>
              <w:bottom w:val="single" w:color="auto" w:sz="4" w:space="0"/>
              <w:right w:val="single" w:color="auto" w:sz="4" w:space="0"/>
            </w:tcBorders>
            <w:shd w:val="clear" w:color="auto" w:fill="auto"/>
            <w:vAlign w:val="center"/>
          </w:tcPr>
          <w:p w14:paraId="154BD651">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20253.48</w:t>
            </w:r>
          </w:p>
        </w:tc>
        <w:tc>
          <w:tcPr>
            <w:tcW w:w="1579" w:type="dxa"/>
            <w:tcBorders>
              <w:top w:val="single" w:color="auto" w:sz="4" w:space="0"/>
              <w:left w:val="nil"/>
              <w:bottom w:val="single" w:color="auto" w:sz="4" w:space="0"/>
              <w:right w:val="single" w:color="auto" w:sz="4" w:space="0"/>
            </w:tcBorders>
            <w:shd w:val="clear" w:color="auto" w:fill="auto"/>
            <w:vAlign w:val="center"/>
          </w:tcPr>
          <w:p w14:paraId="56CC7FC8">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 xml:space="preserve">9456.25 </w:t>
            </w:r>
          </w:p>
        </w:tc>
        <w:tc>
          <w:tcPr>
            <w:tcW w:w="2434" w:type="dxa"/>
            <w:tcBorders>
              <w:top w:val="single" w:color="auto" w:sz="4" w:space="0"/>
              <w:left w:val="nil"/>
              <w:bottom w:val="single" w:color="auto" w:sz="4" w:space="0"/>
              <w:right w:val="double" w:color="auto" w:sz="2" w:space="0"/>
            </w:tcBorders>
            <w:vAlign w:val="center"/>
          </w:tcPr>
          <w:p w14:paraId="7BE7B6B9">
            <w:pPr>
              <w:spacing w:line="280" w:lineRule="exact"/>
              <w:ind w:firstLine="360"/>
              <w:rPr>
                <w:rFonts w:ascii="宋体" w:hAnsi="宋体" w:eastAsia="宋体"/>
                <w:szCs w:val="21"/>
              </w:rPr>
            </w:pPr>
          </w:p>
        </w:tc>
      </w:tr>
      <w:tr w14:paraId="1DB24DE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tcBorders>
              <w:top w:val="single" w:color="auto" w:sz="4" w:space="0"/>
              <w:left w:val="double" w:color="auto" w:sz="2" w:space="0"/>
              <w:bottom w:val="single" w:color="auto" w:sz="4" w:space="0"/>
              <w:right w:val="single" w:color="auto" w:sz="4" w:space="0"/>
            </w:tcBorders>
            <w:vAlign w:val="center"/>
          </w:tcPr>
          <w:p w14:paraId="16C10A57">
            <w:pPr>
              <w:spacing w:line="280" w:lineRule="exact"/>
              <w:jc w:val="left"/>
              <w:rPr>
                <w:rFonts w:ascii="宋体" w:hAnsi="宋体" w:eastAsia="宋体"/>
                <w:szCs w:val="21"/>
              </w:rPr>
            </w:pPr>
            <w:r>
              <w:rPr>
                <w:rFonts w:hint="eastAsia" w:ascii="宋体" w:hAnsi="宋体" w:eastAsia="宋体"/>
                <w:szCs w:val="21"/>
              </w:rPr>
              <w:t>在关联人财务公司日最高存款余额</w:t>
            </w:r>
          </w:p>
        </w:tc>
        <w:tc>
          <w:tcPr>
            <w:tcW w:w="2882" w:type="dxa"/>
            <w:tcBorders>
              <w:top w:val="single" w:color="auto" w:sz="4" w:space="0"/>
              <w:left w:val="nil"/>
              <w:bottom w:val="single" w:color="auto" w:sz="4" w:space="0"/>
              <w:right w:val="single" w:color="auto" w:sz="4" w:space="0"/>
            </w:tcBorders>
            <w:vAlign w:val="center"/>
          </w:tcPr>
          <w:p w14:paraId="6FA1F43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淮北矿业集团财务有限公司</w:t>
            </w:r>
          </w:p>
        </w:tc>
        <w:tc>
          <w:tcPr>
            <w:tcW w:w="1662" w:type="dxa"/>
            <w:tcBorders>
              <w:top w:val="single" w:color="auto" w:sz="4" w:space="0"/>
              <w:left w:val="nil"/>
              <w:bottom w:val="single" w:color="auto" w:sz="4" w:space="0"/>
              <w:right w:val="single" w:color="auto" w:sz="4" w:space="0"/>
            </w:tcBorders>
            <w:vAlign w:val="center"/>
          </w:tcPr>
          <w:p w14:paraId="2FA4337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80,000.00</w:t>
            </w:r>
          </w:p>
        </w:tc>
        <w:tc>
          <w:tcPr>
            <w:tcW w:w="1579" w:type="dxa"/>
            <w:tcBorders>
              <w:top w:val="single" w:color="auto" w:sz="4" w:space="0"/>
              <w:left w:val="nil"/>
              <w:bottom w:val="single" w:color="auto" w:sz="4" w:space="0"/>
              <w:right w:val="single" w:color="auto" w:sz="4" w:space="0"/>
            </w:tcBorders>
            <w:vAlign w:val="center"/>
          </w:tcPr>
          <w:p w14:paraId="1EA9115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40,983.01</w:t>
            </w:r>
          </w:p>
        </w:tc>
        <w:tc>
          <w:tcPr>
            <w:tcW w:w="2434" w:type="dxa"/>
            <w:tcBorders>
              <w:top w:val="single" w:color="auto" w:sz="4" w:space="0"/>
              <w:left w:val="nil"/>
              <w:bottom w:val="single" w:color="auto" w:sz="4" w:space="0"/>
              <w:right w:val="double" w:color="auto" w:sz="2" w:space="0"/>
            </w:tcBorders>
            <w:vAlign w:val="center"/>
          </w:tcPr>
          <w:p w14:paraId="37CF380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实际存款金额低于预计金额</w:t>
            </w:r>
          </w:p>
        </w:tc>
      </w:tr>
      <w:tr w14:paraId="5E7716A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7" w:type="dxa"/>
            <w:tcBorders>
              <w:top w:val="single" w:color="auto" w:sz="4" w:space="0"/>
              <w:left w:val="double" w:color="auto" w:sz="2" w:space="0"/>
              <w:bottom w:val="double" w:color="auto" w:sz="2" w:space="0"/>
              <w:right w:val="single" w:color="auto" w:sz="4" w:space="0"/>
            </w:tcBorders>
            <w:vAlign w:val="center"/>
          </w:tcPr>
          <w:p w14:paraId="71CE9A9F">
            <w:pPr>
              <w:spacing w:line="280" w:lineRule="exact"/>
              <w:rPr>
                <w:rFonts w:ascii="宋体" w:hAnsi="宋体" w:eastAsia="宋体"/>
                <w:szCs w:val="21"/>
              </w:rPr>
            </w:pPr>
            <w:r>
              <w:rPr>
                <w:rFonts w:hint="eastAsia" w:ascii="宋体" w:hAnsi="宋体" w:eastAsia="宋体"/>
                <w:szCs w:val="21"/>
              </w:rPr>
              <w:t>在关联人财务公司日最高贷款余额</w:t>
            </w:r>
          </w:p>
        </w:tc>
        <w:tc>
          <w:tcPr>
            <w:tcW w:w="2882" w:type="dxa"/>
            <w:tcBorders>
              <w:top w:val="single" w:color="auto" w:sz="4" w:space="0"/>
              <w:left w:val="nil"/>
              <w:bottom w:val="double" w:color="auto" w:sz="2" w:space="0"/>
              <w:right w:val="single" w:color="auto" w:sz="4" w:space="0"/>
            </w:tcBorders>
            <w:vAlign w:val="center"/>
          </w:tcPr>
          <w:p w14:paraId="0058B9D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淮北矿业集团财务有限公司</w:t>
            </w:r>
          </w:p>
        </w:tc>
        <w:tc>
          <w:tcPr>
            <w:tcW w:w="1662" w:type="dxa"/>
            <w:tcBorders>
              <w:top w:val="single" w:color="auto" w:sz="4" w:space="0"/>
              <w:left w:val="nil"/>
              <w:bottom w:val="double" w:color="auto" w:sz="2" w:space="0"/>
              <w:right w:val="single" w:color="auto" w:sz="4" w:space="0"/>
            </w:tcBorders>
            <w:vAlign w:val="center"/>
          </w:tcPr>
          <w:p w14:paraId="0CA228B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84,200.00</w:t>
            </w:r>
          </w:p>
        </w:tc>
        <w:tc>
          <w:tcPr>
            <w:tcW w:w="1579" w:type="dxa"/>
            <w:tcBorders>
              <w:top w:val="single" w:color="auto" w:sz="4" w:space="0"/>
              <w:left w:val="nil"/>
              <w:bottom w:val="double" w:color="auto" w:sz="2" w:space="0"/>
              <w:right w:val="single" w:color="auto" w:sz="4" w:space="0"/>
            </w:tcBorders>
            <w:vAlign w:val="center"/>
          </w:tcPr>
          <w:p w14:paraId="79159FA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25,700.00</w:t>
            </w:r>
          </w:p>
        </w:tc>
        <w:tc>
          <w:tcPr>
            <w:tcW w:w="2434" w:type="dxa"/>
            <w:tcBorders>
              <w:top w:val="single" w:color="auto" w:sz="4" w:space="0"/>
              <w:left w:val="nil"/>
              <w:bottom w:val="double" w:color="auto" w:sz="2" w:space="0"/>
              <w:right w:val="double" w:color="auto" w:sz="2" w:space="0"/>
            </w:tcBorders>
            <w:vAlign w:val="center"/>
          </w:tcPr>
          <w:p w14:paraId="1CD1839B">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实际贷款发生额低于预计金额</w:t>
            </w:r>
          </w:p>
        </w:tc>
      </w:tr>
    </w:tbl>
    <w:p w14:paraId="480EC02C">
      <w:pPr>
        <w:widowControl/>
        <w:jc w:val="left"/>
        <w:rPr>
          <w:rFonts w:ascii="宋体" w:hAnsi="宋体" w:eastAsia="宋体"/>
          <w:sz w:val="22"/>
          <w:szCs w:val="24"/>
          <w:highlight w:val="yellow"/>
        </w:rPr>
      </w:pPr>
      <w:r>
        <w:rPr>
          <w:rFonts w:hint="eastAsia" w:ascii="宋体" w:hAnsi="宋体" w:eastAsia="宋体"/>
          <w:sz w:val="22"/>
          <w:szCs w:val="24"/>
        </w:rPr>
        <w:t>注1：本表中关联交易类别下的“从关联方接受服务”中淮北矿业（集团）有限责任公司及其下属公司2024年实际发生金额6479.96 万元（未经审计）数据含淮北矿业（集团）工程建设有限责任公司通过招标方式承包中央控制室的工程建设费和装修装饰费2582.68万元。</w:t>
      </w:r>
    </w:p>
    <w:p w14:paraId="6D8C0D7D">
      <w:pPr>
        <w:spacing w:line="360" w:lineRule="auto"/>
        <w:ind w:firstLine="482" w:firstLineChars="200"/>
        <w:rPr>
          <w:rFonts w:ascii="宋体" w:hAnsi="宋体" w:eastAsia="宋体"/>
          <w:b/>
          <w:sz w:val="24"/>
          <w:szCs w:val="24"/>
        </w:rPr>
      </w:pPr>
      <w:r>
        <w:rPr>
          <w:rFonts w:hint="eastAsia" w:ascii="宋体" w:hAnsi="宋体" w:eastAsia="宋体"/>
          <w:b/>
          <w:sz w:val="24"/>
          <w:szCs w:val="24"/>
        </w:rPr>
        <w:t>二、2025年日常关联交易预计金额和类别</w:t>
      </w:r>
    </w:p>
    <w:p w14:paraId="51E9016B">
      <w:pPr>
        <w:spacing w:line="360" w:lineRule="auto"/>
        <w:ind w:firstLine="480" w:firstLineChars="200"/>
        <w:rPr>
          <w:rFonts w:ascii="宋体" w:hAnsi="宋体" w:eastAsia="宋体"/>
          <w:sz w:val="24"/>
          <w:szCs w:val="24"/>
        </w:rPr>
      </w:pPr>
      <w:r>
        <w:rPr>
          <w:rFonts w:hint="eastAsia" w:ascii="宋体" w:hAnsi="宋体" w:eastAsia="宋体"/>
          <w:sz w:val="24"/>
          <w:szCs w:val="24"/>
        </w:rPr>
        <w:t>根据公司实际生产经营需要，2025年公司预计与关联人发生的日常关联交易情况如下：</w:t>
      </w:r>
    </w:p>
    <w:p w14:paraId="3EBEA735">
      <w:pPr>
        <w:ind w:firstLine="480" w:firstLineChars="200"/>
        <w:jc w:val="right"/>
        <w:rPr>
          <w:rFonts w:ascii="宋体" w:hAnsi="宋体" w:eastAsia="宋体"/>
          <w:sz w:val="24"/>
          <w:szCs w:val="24"/>
        </w:rPr>
      </w:pPr>
      <w:r>
        <w:rPr>
          <w:rFonts w:hint="eastAsia" w:ascii="宋体" w:hAnsi="宋体" w:eastAsia="宋体"/>
          <w:sz w:val="24"/>
          <w:szCs w:val="24"/>
        </w:rPr>
        <w:t>单位：万元</w:t>
      </w:r>
    </w:p>
    <w:tbl>
      <w:tblPr>
        <w:tblStyle w:val="13"/>
        <w:tblW w:w="6117" w:type="pct"/>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492"/>
        <w:gridCol w:w="1644"/>
        <w:gridCol w:w="1563"/>
        <w:gridCol w:w="2276"/>
      </w:tblGrid>
      <w:tr w14:paraId="335E463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412" w:type="dxa"/>
            <w:tcBorders>
              <w:top w:val="double" w:color="auto" w:sz="2" w:space="0"/>
              <w:left w:val="double" w:color="auto" w:sz="2" w:space="0"/>
              <w:bottom w:val="single" w:color="auto" w:sz="4" w:space="0"/>
              <w:right w:val="single" w:color="auto" w:sz="4" w:space="0"/>
            </w:tcBorders>
            <w:vAlign w:val="center"/>
          </w:tcPr>
          <w:p w14:paraId="33B9BD06">
            <w:pPr>
              <w:spacing w:line="280" w:lineRule="exact"/>
              <w:jc w:val="center"/>
              <w:rPr>
                <w:rFonts w:ascii="宋体" w:hAnsi="宋体" w:eastAsia="宋体"/>
                <w:b/>
                <w:szCs w:val="21"/>
              </w:rPr>
            </w:pPr>
            <w:bookmarkStart w:id="16" w:name="_Hlk123895344"/>
            <w:r>
              <w:rPr>
                <w:rFonts w:hint="eastAsia" w:ascii="宋体" w:hAnsi="宋体" w:eastAsia="宋体"/>
                <w:b/>
                <w:szCs w:val="21"/>
              </w:rPr>
              <w:t>关联交易类别</w:t>
            </w:r>
            <w:bookmarkEnd w:id="16"/>
          </w:p>
        </w:tc>
        <w:tc>
          <w:tcPr>
            <w:tcW w:w="3397" w:type="dxa"/>
            <w:tcBorders>
              <w:top w:val="double" w:color="auto" w:sz="2" w:space="0"/>
              <w:left w:val="nil"/>
              <w:bottom w:val="single" w:color="auto" w:sz="4" w:space="0"/>
              <w:right w:val="single" w:color="auto" w:sz="4" w:space="0"/>
            </w:tcBorders>
            <w:vAlign w:val="center"/>
          </w:tcPr>
          <w:p w14:paraId="1F45C13F">
            <w:pPr>
              <w:spacing w:line="280" w:lineRule="exact"/>
              <w:jc w:val="center"/>
              <w:rPr>
                <w:rFonts w:ascii="宋体" w:hAnsi="宋体" w:eastAsia="宋体"/>
                <w:b/>
                <w:szCs w:val="21"/>
              </w:rPr>
            </w:pPr>
            <w:r>
              <w:rPr>
                <w:rFonts w:hint="eastAsia" w:ascii="宋体" w:hAnsi="宋体" w:eastAsia="宋体"/>
                <w:b/>
                <w:szCs w:val="21"/>
              </w:rPr>
              <w:t>关联人</w:t>
            </w:r>
          </w:p>
        </w:tc>
        <w:tc>
          <w:tcPr>
            <w:tcW w:w="1599" w:type="dxa"/>
            <w:tcBorders>
              <w:top w:val="double" w:color="auto" w:sz="2" w:space="0"/>
              <w:left w:val="nil"/>
              <w:bottom w:val="single" w:color="auto" w:sz="4" w:space="0"/>
              <w:right w:val="single" w:color="auto" w:sz="4" w:space="0"/>
            </w:tcBorders>
            <w:vAlign w:val="center"/>
          </w:tcPr>
          <w:p w14:paraId="4109F73C">
            <w:pPr>
              <w:spacing w:line="280" w:lineRule="exact"/>
              <w:jc w:val="center"/>
              <w:rPr>
                <w:rFonts w:ascii="宋体" w:hAnsi="宋体" w:eastAsia="宋体"/>
                <w:b/>
                <w:szCs w:val="21"/>
              </w:rPr>
            </w:pPr>
            <w:r>
              <w:rPr>
                <w:rFonts w:hint="eastAsia" w:ascii="宋体" w:hAnsi="宋体" w:eastAsia="宋体"/>
                <w:b/>
                <w:szCs w:val="21"/>
              </w:rPr>
              <w:t>2025年</w:t>
            </w:r>
          </w:p>
          <w:p w14:paraId="3FFF926B">
            <w:pPr>
              <w:spacing w:line="280" w:lineRule="exact"/>
              <w:jc w:val="center"/>
              <w:rPr>
                <w:rFonts w:ascii="宋体" w:hAnsi="宋体" w:eastAsia="宋体"/>
                <w:b/>
                <w:szCs w:val="21"/>
              </w:rPr>
            </w:pPr>
            <w:r>
              <w:rPr>
                <w:rFonts w:hint="eastAsia" w:ascii="宋体" w:hAnsi="宋体" w:eastAsia="宋体"/>
                <w:b/>
                <w:szCs w:val="21"/>
              </w:rPr>
              <w:t>预计金额</w:t>
            </w:r>
          </w:p>
        </w:tc>
        <w:tc>
          <w:tcPr>
            <w:tcW w:w="1520" w:type="dxa"/>
            <w:tcBorders>
              <w:top w:val="double" w:color="auto" w:sz="2" w:space="0"/>
              <w:left w:val="nil"/>
              <w:bottom w:val="single" w:color="auto" w:sz="4" w:space="0"/>
              <w:right w:val="single" w:color="auto" w:sz="4" w:space="0"/>
            </w:tcBorders>
            <w:vAlign w:val="center"/>
          </w:tcPr>
          <w:p w14:paraId="2F920340">
            <w:pPr>
              <w:spacing w:line="280" w:lineRule="exact"/>
              <w:jc w:val="center"/>
              <w:rPr>
                <w:rFonts w:ascii="宋体" w:hAnsi="宋体" w:eastAsia="宋体"/>
                <w:b/>
                <w:bCs/>
                <w:szCs w:val="21"/>
              </w:rPr>
            </w:pPr>
            <w:r>
              <w:rPr>
                <w:rFonts w:hint="eastAsia" w:ascii="宋体" w:hAnsi="宋体" w:eastAsia="宋体"/>
                <w:b/>
                <w:bCs/>
                <w:szCs w:val="21"/>
              </w:rPr>
              <w:t>2024年实际</w:t>
            </w:r>
          </w:p>
          <w:p w14:paraId="72A42EC2">
            <w:pPr>
              <w:spacing w:line="280" w:lineRule="exact"/>
              <w:jc w:val="center"/>
              <w:rPr>
                <w:rFonts w:ascii="宋体" w:hAnsi="宋体" w:eastAsia="宋体"/>
                <w:b/>
                <w:bCs/>
                <w:szCs w:val="21"/>
              </w:rPr>
            </w:pPr>
            <w:r>
              <w:rPr>
                <w:rFonts w:hint="eastAsia" w:ascii="宋体" w:hAnsi="宋体" w:eastAsia="宋体"/>
                <w:b/>
                <w:bCs/>
                <w:szCs w:val="21"/>
              </w:rPr>
              <w:t>发生金额</w:t>
            </w:r>
          </w:p>
          <w:p w14:paraId="1CE4E215">
            <w:pPr>
              <w:spacing w:line="280" w:lineRule="exact"/>
              <w:jc w:val="center"/>
              <w:rPr>
                <w:rFonts w:ascii="宋体" w:hAnsi="宋体" w:eastAsia="宋体"/>
                <w:szCs w:val="21"/>
              </w:rPr>
            </w:pPr>
            <w:r>
              <w:rPr>
                <w:rFonts w:hint="eastAsia" w:ascii="宋体" w:hAnsi="宋体" w:eastAsia="宋体"/>
                <w:b/>
                <w:bCs/>
                <w:szCs w:val="21"/>
              </w:rPr>
              <w:t>（未经审计）</w:t>
            </w:r>
          </w:p>
        </w:tc>
        <w:tc>
          <w:tcPr>
            <w:tcW w:w="2214" w:type="dxa"/>
            <w:tcBorders>
              <w:top w:val="double" w:color="auto" w:sz="2" w:space="0"/>
              <w:left w:val="nil"/>
              <w:bottom w:val="single" w:color="auto" w:sz="4" w:space="0"/>
              <w:right w:val="double" w:color="auto" w:sz="2" w:space="0"/>
            </w:tcBorders>
            <w:vAlign w:val="center"/>
          </w:tcPr>
          <w:p w14:paraId="1AC319AF">
            <w:pPr>
              <w:spacing w:line="280" w:lineRule="exact"/>
              <w:jc w:val="center"/>
              <w:rPr>
                <w:rFonts w:ascii="宋体" w:hAnsi="宋体" w:eastAsia="宋体"/>
                <w:b/>
                <w:szCs w:val="21"/>
              </w:rPr>
            </w:pPr>
            <w:r>
              <w:rPr>
                <w:rFonts w:hint="eastAsia" w:ascii="宋体" w:hAnsi="宋体" w:eastAsia="宋体"/>
                <w:b/>
                <w:szCs w:val="21"/>
              </w:rPr>
              <w:t>本次预计金额与上年实际发生金额差异较大的原因</w:t>
            </w:r>
          </w:p>
        </w:tc>
      </w:tr>
      <w:tr w14:paraId="32BDBD5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412" w:type="dxa"/>
            <w:vMerge w:val="restart"/>
            <w:tcBorders>
              <w:top w:val="nil"/>
              <w:left w:val="double" w:color="auto" w:sz="2" w:space="0"/>
              <w:bottom w:val="single" w:color="auto" w:sz="4" w:space="0"/>
              <w:right w:val="single" w:color="auto" w:sz="4" w:space="0"/>
            </w:tcBorders>
            <w:vAlign w:val="center"/>
          </w:tcPr>
          <w:p w14:paraId="50FD1376">
            <w:pPr>
              <w:spacing w:line="280" w:lineRule="exact"/>
              <w:rPr>
                <w:rFonts w:ascii="宋体" w:hAnsi="宋体" w:eastAsia="宋体"/>
                <w:szCs w:val="21"/>
              </w:rPr>
            </w:pPr>
            <w:r>
              <w:rPr>
                <w:rFonts w:hint="eastAsia" w:ascii="宋体" w:hAnsi="宋体" w:eastAsia="宋体"/>
                <w:szCs w:val="21"/>
              </w:rPr>
              <w:t>从关联方采购产品、商品</w:t>
            </w:r>
          </w:p>
        </w:tc>
        <w:tc>
          <w:tcPr>
            <w:tcW w:w="3397" w:type="dxa"/>
            <w:tcBorders>
              <w:top w:val="single" w:color="auto" w:sz="4" w:space="0"/>
              <w:left w:val="nil"/>
              <w:bottom w:val="single" w:color="auto" w:sz="4" w:space="0"/>
              <w:right w:val="single" w:color="auto" w:sz="4" w:space="0"/>
            </w:tcBorders>
            <w:vAlign w:val="center"/>
          </w:tcPr>
          <w:p w14:paraId="0C79A5C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淮北矿业信盛国际贸易有限责任公司</w:t>
            </w:r>
          </w:p>
        </w:tc>
        <w:tc>
          <w:tcPr>
            <w:tcW w:w="1599" w:type="dxa"/>
            <w:tcBorders>
              <w:top w:val="single" w:color="auto" w:sz="4" w:space="0"/>
              <w:left w:val="nil"/>
              <w:bottom w:val="single" w:color="auto" w:sz="4" w:space="0"/>
              <w:right w:val="single" w:color="auto" w:sz="4" w:space="0"/>
            </w:tcBorders>
            <w:vAlign w:val="center"/>
          </w:tcPr>
          <w:p w14:paraId="6357A94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6200.00</w:t>
            </w:r>
          </w:p>
        </w:tc>
        <w:tc>
          <w:tcPr>
            <w:tcW w:w="1520" w:type="dxa"/>
            <w:tcBorders>
              <w:top w:val="single" w:color="auto" w:sz="4" w:space="0"/>
              <w:left w:val="nil"/>
              <w:bottom w:val="single" w:color="auto" w:sz="4" w:space="0"/>
              <w:right w:val="single" w:color="auto" w:sz="4" w:space="0"/>
            </w:tcBorders>
            <w:vAlign w:val="center"/>
          </w:tcPr>
          <w:p w14:paraId="7023C0B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1703.13 </w:t>
            </w:r>
          </w:p>
        </w:tc>
        <w:tc>
          <w:tcPr>
            <w:tcW w:w="2214" w:type="dxa"/>
            <w:tcBorders>
              <w:top w:val="single" w:color="auto" w:sz="4" w:space="0"/>
              <w:left w:val="nil"/>
              <w:bottom w:val="single" w:color="auto" w:sz="4" w:space="0"/>
              <w:right w:val="double" w:color="auto" w:sz="2" w:space="0"/>
            </w:tcBorders>
            <w:shd w:val="clear" w:color="auto" w:fill="auto"/>
            <w:vAlign w:val="center"/>
          </w:tcPr>
          <w:p w14:paraId="4A7AF976">
            <w:pPr>
              <w:widowControl/>
              <w:jc w:val="left"/>
              <w:textAlignment w:val="center"/>
              <w:rPr>
                <w:rFonts w:ascii="宋体" w:hAnsi="宋体" w:eastAsia="宋体" w:cs="宋体"/>
                <w:color w:val="000000"/>
                <w:kern w:val="0"/>
                <w:szCs w:val="21"/>
                <w:lang w:bidi="ar"/>
              </w:rPr>
            </w:pPr>
            <w:r>
              <w:rPr>
                <w:rFonts w:hint="eastAsia" w:ascii="宋体" w:hAnsi="宋体" w:eastAsia="宋体" w:cs="宋体"/>
                <w:kern w:val="0"/>
                <w:szCs w:val="21"/>
                <w:lang w:bidi="ar"/>
              </w:rPr>
              <w:t>主要系2</w:t>
            </w:r>
            <w:r>
              <w:rPr>
                <w:rFonts w:ascii="宋体" w:hAnsi="宋体" w:eastAsia="宋体" w:cs="宋体"/>
                <w:kern w:val="0"/>
                <w:szCs w:val="21"/>
                <w:lang w:bidi="ar"/>
              </w:rPr>
              <w:t>024</w:t>
            </w:r>
            <w:r>
              <w:rPr>
                <w:rFonts w:hint="eastAsia" w:ascii="宋体" w:hAnsi="宋体" w:eastAsia="宋体" w:cs="宋体"/>
                <w:kern w:val="0"/>
                <w:szCs w:val="21"/>
                <w:lang w:bidi="ar"/>
              </w:rPr>
              <w:t>年部</w:t>
            </w:r>
            <w:r>
              <w:rPr>
                <w:rFonts w:hint="eastAsia" w:ascii="宋体" w:hAnsi="宋体" w:eastAsia="宋体" w:cs="宋体"/>
                <w:color w:val="000000"/>
                <w:kern w:val="0"/>
                <w:szCs w:val="21"/>
                <w:lang w:bidi="ar"/>
              </w:rPr>
              <w:t>分业务未实际发生</w:t>
            </w:r>
          </w:p>
        </w:tc>
      </w:tr>
      <w:tr w14:paraId="1694B72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vMerge w:val="continue"/>
            <w:tcBorders>
              <w:top w:val="nil"/>
              <w:left w:val="double" w:color="auto" w:sz="2" w:space="0"/>
              <w:bottom w:val="single" w:color="auto" w:sz="4" w:space="0"/>
              <w:right w:val="single" w:color="auto" w:sz="4" w:space="0"/>
            </w:tcBorders>
            <w:vAlign w:val="center"/>
          </w:tcPr>
          <w:p w14:paraId="067A373F">
            <w:pPr>
              <w:widowControl/>
              <w:jc w:val="left"/>
              <w:rPr>
                <w:rFonts w:ascii="宋体" w:hAnsi="宋体" w:eastAsia="宋体" w:cs="Calibri"/>
                <w:szCs w:val="21"/>
              </w:rPr>
            </w:pPr>
          </w:p>
        </w:tc>
        <w:tc>
          <w:tcPr>
            <w:tcW w:w="3397" w:type="dxa"/>
            <w:tcBorders>
              <w:top w:val="single" w:color="auto" w:sz="4" w:space="0"/>
              <w:left w:val="nil"/>
              <w:bottom w:val="single" w:color="auto" w:sz="4" w:space="0"/>
              <w:right w:val="single" w:color="auto" w:sz="4" w:space="0"/>
            </w:tcBorders>
            <w:vAlign w:val="center"/>
          </w:tcPr>
          <w:p w14:paraId="58D0778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淮北矿业股份有限公司</w:t>
            </w:r>
          </w:p>
        </w:tc>
        <w:tc>
          <w:tcPr>
            <w:tcW w:w="1599" w:type="dxa"/>
            <w:tcBorders>
              <w:top w:val="single" w:color="auto" w:sz="4" w:space="0"/>
              <w:left w:val="nil"/>
              <w:bottom w:val="single" w:color="auto" w:sz="4" w:space="0"/>
              <w:right w:val="single" w:color="auto" w:sz="4" w:space="0"/>
            </w:tcBorders>
            <w:vAlign w:val="center"/>
          </w:tcPr>
          <w:p w14:paraId="24108B5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37500.00</w:t>
            </w:r>
          </w:p>
        </w:tc>
        <w:tc>
          <w:tcPr>
            <w:tcW w:w="1520" w:type="dxa"/>
            <w:tcBorders>
              <w:top w:val="single" w:color="auto" w:sz="4" w:space="0"/>
              <w:left w:val="nil"/>
              <w:bottom w:val="single" w:color="auto" w:sz="4" w:space="0"/>
              <w:right w:val="single" w:color="auto" w:sz="4" w:space="0"/>
            </w:tcBorders>
            <w:vAlign w:val="center"/>
          </w:tcPr>
          <w:p w14:paraId="69996EC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33798.00 </w:t>
            </w:r>
          </w:p>
        </w:tc>
        <w:tc>
          <w:tcPr>
            <w:tcW w:w="2214" w:type="dxa"/>
            <w:tcBorders>
              <w:top w:val="single" w:color="auto" w:sz="4" w:space="0"/>
              <w:left w:val="nil"/>
              <w:bottom w:val="single" w:color="auto" w:sz="4" w:space="0"/>
              <w:right w:val="double" w:color="auto" w:sz="2" w:space="0"/>
            </w:tcBorders>
            <w:vAlign w:val="center"/>
          </w:tcPr>
          <w:p w14:paraId="5EED7481">
            <w:pPr>
              <w:widowControl/>
              <w:jc w:val="left"/>
              <w:textAlignment w:val="center"/>
              <w:rPr>
                <w:rFonts w:ascii="宋体" w:hAnsi="宋体" w:eastAsia="宋体" w:cs="宋体"/>
                <w:color w:val="000000"/>
                <w:kern w:val="0"/>
                <w:szCs w:val="21"/>
                <w:lang w:bidi="ar"/>
              </w:rPr>
            </w:pPr>
          </w:p>
        </w:tc>
      </w:tr>
      <w:tr w14:paraId="06F7A7F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vMerge w:val="continue"/>
            <w:tcBorders>
              <w:top w:val="nil"/>
              <w:left w:val="double" w:color="auto" w:sz="2" w:space="0"/>
              <w:bottom w:val="single" w:color="auto" w:sz="4" w:space="0"/>
              <w:right w:val="single" w:color="auto" w:sz="4" w:space="0"/>
            </w:tcBorders>
            <w:vAlign w:val="center"/>
          </w:tcPr>
          <w:p w14:paraId="420D0D56">
            <w:pPr>
              <w:widowControl/>
              <w:jc w:val="left"/>
              <w:rPr>
                <w:rFonts w:ascii="宋体" w:hAnsi="宋体" w:eastAsia="宋体" w:cs="Calibri"/>
                <w:szCs w:val="21"/>
              </w:rPr>
            </w:pPr>
          </w:p>
        </w:tc>
        <w:tc>
          <w:tcPr>
            <w:tcW w:w="3397" w:type="dxa"/>
            <w:tcBorders>
              <w:top w:val="single" w:color="auto" w:sz="4" w:space="0"/>
              <w:left w:val="nil"/>
              <w:bottom w:val="single" w:color="auto" w:sz="4" w:space="0"/>
              <w:right w:val="single" w:color="auto" w:sz="4" w:space="0"/>
            </w:tcBorders>
            <w:vAlign w:val="center"/>
          </w:tcPr>
          <w:p w14:paraId="35CC312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临涣焦化股份有限公司</w:t>
            </w:r>
          </w:p>
        </w:tc>
        <w:tc>
          <w:tcPr>
            <w:tcW w:w="1599" w:type="dxa"/>
            <w:tcBorders>
              <w:top w:val="single" w:color="auto" w:sz="4" w:space="0"/>
              <w:left w:val="nil"/>
              <w:bottom w:val="single" w:color="auto" w:sz="4" w:space="0"/>
              <w:right w:val="single" w:color="auto" w:sz="4" w:space="0"/>
            </w:tcBorders>
            <w:vAlign w:val="center"/>
          </w:tcPr>
          <w:p w14:paraId="5B32193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10000.00</w:t>
            </w:r>
          </w:p>
        </w:tc>
        <w:tc>
          <w:tcPr>
            <w:tcW w:w="1520" w:type="dxa"/>
            <w:tcBorders>
              <w:top w:val="single" w:color="auto" w:sz="4" w:space="0"/>
              <w:left w:val="nil"/>
              <w:bottom w:val="single" w:color="auto" w:sz="4" w:space="0"/>
              <w:right w:val="single" w:color="auto" w:sz="4" w:space="0"/>
            </w:tcBorders>
            <w:vAlign w:val="center"/>
          </w:tcPr>
          <w:p w14:paraId="67B4E94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5954.50 </w:t>
            </w:r>
          </w:p>
        </w:tc>
        <w:tc>
          <w:tcPr>
            <w:tcW w:w="2214" w:type="dxa"/>
            <w:tcBorders>
              <w:top w:val="single" w:color="auto" w:sz="4" w:space="0"/>
              <w:left w:val="nil"/>
              <w:bottom w:val="single" w:color="auto" w:sz="4" w:space="0"/>
              <w:right w:val="double" w:color="auto" w:sz="2" w:space="0"/>
            </w:tcBorders>
            <w:shd w:val="clear" w:color="auto" w:fill="auto"/>
            <w:vAlign w:val="center"/>
          </w:tcPr>
          <w:p w14:paraId="5C6F10D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2025年采购量预计增加</w:t>
            </w:r>
          </w:p>
        </w:tc>
      </w:tr>
      <w:tr w14:paraId="3912F1F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vMerge w:val="continue"/>
            <w:tcBorders>
              <w:top w:val="nil"/>
              <w:left w:val="double" w:color="auto" w:sz="2" w:space="0"/>
              <w:bottom w:val="single" w:color="auto" w:sz="4" w:space="0"/>
              <w:right w:val="single" w:color="auto" w:sz="4" w:space="0"/>
            </w:tcBorders>
            <w:vAlign w:val="center"/>
          </w:tcPr>
          <w:p w14:paraId="13F9FD29">
            <w:pPr>
              <w:widowControl/>
              <w:jc w:val="left"/>
              <w:rPr>
                <w:rFonts w:ascii="宋体" w:hAnsi="宋体" w:eastAsia="宋体" w:cs="Calibri"/>
                <w:szCs w:val="21"/>
              </w:rPr>
            </w:pPr>
          </w:p>
        </w:tc>
        <w:tc>
          <w:tcPr>
            <w:tcW w:w="3397" w:type="dxa"/>
            <w:tcBorders>
              <w:top w:val="single" w:color="auto" w:sz="4" w:space="0"/>
              <w:left w:val="nil"/>
              <w:bottom w:val="single" w:color="auto" w:sz="4" w:space="0"/>
              <w:right w:val="single" w:color="auto" w:sz="4" w:space="0"/>
            </w:tcBorders>
            <w:vAlign w:val="center"/>
          </w:tcPr>
          <w:p w14:paraId="2CEAD6B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淮北矿业（海南）投资发展有限公司</w:t>
            </w:r>
          </w:p>
        </w:tc>
        <w:tc>
          <w:tcPr>
            <w:tcW w:w="1599" w:type="dxa"/>
            <w:tcBorders>
              <w:top w:val="single" w:color="auto" w:sz="4" w:space="0"/>
              <w:left w:val="nil"/>
              <w:bottom w:val="single" w:color="auto" w:sz="4" w:space="0"/>
              <w:right w:val="single" w:color="auto" w:sz="4" w:space="0"/>
            </w:tcBorders>
            <w:vAlign w:val="center"/>
          </w:tcPr>
          <w:p w14:paraId="1DB56A7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4000.00</w:t>
            </w:r>
          </w:p>
        </w:tc>
        <w:tc>
          <w:tcPr>
            <w:tcW w:w="1520" w:type="dxa"/>
            <w:tcBorders>
              <w:top w:val="single" w:color="auto" w:sz="4" w:space="0"/>
              <w:left w:val="nil"/>
              <w:bottom w:val="single" w:color="auto" w:sz="4" w:space="0"/>
              <w:right w:val="single" w:color="auto" w:sz="4" w:space="0"/>
            </w:tcBorders>
            <w:vAlign w:val="center"/>
          </w:tcPr>
          <w:p w14:paraId="0615160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3207.90 </w:t>
            </w:r>
          </w:p>
        </w:tc>
        <w:tc>
          <w:tcPr>
            <w:tcW w:w="2214" w:type="dxa"/>
            <w:tcBorders>
              <w:top w:val="single" w:color="auto" w:sz="4" w:space="0"/>
              <w:left w:val="nil"/>
              <w:bottom w:val="single" w:color="auto" w:sz="4" w:space="0"/>
              <w:right w:val="double" w:color="auto" w:sz="2" w:space="0"/>
            </w:tcBorders>
            <w:shd w:val="clear" w:color="auto" w:fill="auto"/>
            <w:vAlign w:val="center"/>
          </w:tcPr>
          <w:p w14:paraId="25BA8AFB">
            <w:pPr>
              <w:widowControl/>
              <w:jc w:val="left"/>
              <w:textAlignment w:val="center"/>
              <w:rPr>
                <w:rFonts w:ascii="宋体" w:hAnsi="宋体" w:eastAsia="宋体" w:cs="宋体"/>
                <w:color w:val="000000"/>
                <w:kern w:val="0"/>
                <w:szCs w:val="21"/>
                <w:lang w:bidi="ar"/>
              </w:rPr>
            </w:pPr>
          </w:p>
        </w:tc>
      </w:tr>
      <w:tr w14:paraId="2BEA866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vMerge w:val="continue"/>
            <w:tcBorders>
              <w:top w:val="nil"/>
              <w:left w:val="double" w:color="auto" w:sz="2" w:space="0"/>
              <w:bottom w:val="single" w:color="auto" w:sz="4" w:space="0"/>
              <w:right w:val="single" w:color="auto" w:sz="4" w:space="0"/>
            </w:tcBorders>
            <w:vAlign w:val="center"/>
          </w:tcPr>
          <w:p w14:paraId="7AB2A477">
            <w:pPr>
              <w:widowControl/>
              <w:jc w:val="left"/>
              <w:rPr>
                <w:rFonts w:ascii="宋体" w:hAnsi="宋体" w:eastAsia="宋体" w:cs="Calibri"/>
                <w:szCs w:val="21"/>
              </w:rPr>
            </w:pPr>
          </w:p>
        </w:tc>
        <w:tc>
          <w:tcPr>
            <w:tcW w:w="3397" w:type="dxa"/>
            <w:tcBorders>
              <w:top w:val="single" w:color="auto" w:sz="4" w:space="0"/>
              <w:left w:val="nil"/>
              <w:bottom w:val="single" w:color="auto" w:sz="4" w:space="0"/>
              <w:right w:val="single" w:color="auto" w:sz="4" w:space="0"/>
            </w:tcBorders>
            <w:vAlign w:val="center"/>
          </w:tcPr>
          <w:p w14:paraId="1EC7089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淮北矿业集团（滁州）华塑物流有限公司宁波大榭分公司</w:t>
            </w:r>
          </w:p>
        </w:tc>
        <w:tc>
          <w:tcPr>
            <w:tcW w:w="1599" w:type="dxa"/>
            <w:tcBorders>
              <w:top w:val="single" w:color="auto" w:sz="4" w:space="0"/>
              <w:left w:val="nil"/>
              <w:bottom w:val="single" w:color="auto" w:sz="4" w:space="0"/>
              <w:right w:val="single" w:color="auto" w:sz="4" w:space="0"/>
            </w:tcBorders>
            <w:vAlign w:val="center"/>
          </w:tcPr>
          <w:p w14:paraId="21C1DA1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4500.00</w:t>
            </w:r>
          </w:p>
        </w:tc>
        <w:tc>
          <w:tcPr>
            <w:tcW w:w="1520" w:type="dxa"/>
            <w:tcBorders>
              <w:top w:val="single" w:color="auto" w:sz="4" w:space="0"/>
              <w:left w:val="nil"/>
              <w:bottom w:val="single" w:color="auto" w:sz="4" w:space="0"/>
              <w:right w:val="single" w:color="auto" w:sz="4" w:space="0"/>
            </w:tcBorders>
            <w:vAlign w:val="center"/>
          </w:tcPr>
          <w:p w14:paraId="66D56AB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4697.82 </w:t>
            </w:r>
          </w:p>
        </w:tc>
        <w:tc>
          <w:tcPr>
            <w:tcW w:w="2214" w:type="dxa"/>
            <w:tcBorders>
              <w:top w:val="single" w:color="auto" w:sz="4" w:space="0"/>
              <w:left w:val="nil"/>
              <w:bottom w:val="single" w:color="auto" w:sz="4" w:space="0"/>
              <w:right w:val="double" w:color="auto" w:sz="2" w:space="0"/>
            </w:tcBorders>
            <w:vAlign w:val="center"/>
          </w:tcPr>
          <w:p w14:paraId="0AEB5E67">
            <w:pPr>
              <w:widowControl/>
              <w:jc w:val="left"/>
              <w:textAlignment w:val="center"/>
              <w:rPr>
                <w:rFonts w:ascii="宋体" w:hAnsi="宋体" w:eastAsia="宋体" w:cs="宋体"/>
                <w:color w:val="000000"/>
                <w:kern w:val="0"/>
                <w:szCs w:val="21"/>
                <w:lang w:bidi="ar"/>
              </w:rPr>
            </w:pPr>
          </w:p>
        </w:tc>
      </w:tr>
      <w:tr w14:paraId="4B27BBC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vMerge w:val="continue"/>
            <w:tcBorders>
              <w:top w:val="nil"/>
              <w:left w:val="double" w:color="auto" w:sz="2" w:space="0"/>
              <w:bottom w:val="single" w:color="auto" w:sz="4" w:space="0"/>
              <w:right w:val="single" w:color="auto" w:sz="4" w:space="0"/>
            </w:tcBorders>
            <w:vAlign w:val="center"/>
          </w:tcPr>
          <w:p w14:paraId="283CFF7C">
            <w:pPr>
              <w:widowControl/>
              <w:jc w:val="left"/>
              <w:rPr>
                <w:rFonts w:ascii="宋体" w:hAnsi="宋体" w:eastAsia="宋体" w:cs="Calibri"/>
                <w:szCs w:val="21"/>
              </w:rPr>
            </w:pPr>
          </w:p>
        </w:tc>
        <w:tc>
          <w:tcPr>
            <w:tcW w:w="3397" w:type="dxa"/>
            <w:tcBorders>
              <w:top w:val="single" w:color="auto" w:sz="4" w:space="0"/>
              <w:left w:val="nil"/>
              <w:bottom w:val="single" w:color="auto" w:sz="4" w:space="0"/>
              <w:right w:val="single" w:color="auto" w:sz="4" w:space="0"/>
            </w:tcBorders>
            <w:vAlign w:val="center"/>
          </w:tcPr>
          <w:p w14:paraId="64FDB20F">
            <w:pPr>
              <w:widowControl/>
              <w:spacing w:line="280" w:lineRule="exact"/>
              <w:jc w:val="center"/>
              <w:rPr>
                <w:rFonts w:ascii="宋体" w:hAnsi="宋体" w:eastAsia="宋体"/>
                <w:szCs w:val="21"/>
              </w:rPr>
            </w:pPr>
            <w:r>
              <w:rPr>
                <w:rFonts w:hint="eastAsia" w:ascii="宋体" w:hAnsi="宋体" w:eastAsia="宋体"/>
                <w:szCs w:val="21"/>
              </w:rPr>
              <w:t>小计</w:t>
            </w:r>
          </w:p>
        </w:tc>
        <w:tc>
          <w:tcPr>
            <w:tcW w:w="1599" w:type="dxa"/>
            <w:tcBorders>
              <w:top w:val="single" w:color="auto" w:sz="4" w:space="0"/>
              <w:left w:val="nil"/>
              <w:bottom w:val="single" w:color="auto" w:sz="4" w:space="0"/>
              <w:right w:val="single" w:color="auto" w:sz="4" w:space="0"/>
            </w:tcBorders>
            <w:vAlign w:val="center"/>
          </w:tcPr>
          <w:p w14:paraId="5D070B8A">
            <w:pPr>
              <w:widowControl/>
              <w:jc w:val="center"/>
              <w:textAlignment w:val="center"/>
              <w:rPr>
                <w:rFonts w:ascii="宋体" w:hAnsi="宋体" w:eastAsia="宋体"/>
                <w:szCs w:val="21"/>
              </w:rPr>
            </w:pPr>
            <w:r>
              <w:rPr>
                <w:rFonts w:hint="eastAsia" w:ascii="宋体" w:hAnsi="宋体" w:eastAsia="宋体" w:cs="宋体"/>
                <w:b/>
                <w:bCs/>
                <w:color w:val="000000"/>
                <w:kern w:val="0"/>
                <w:szCs w:val="21"/>
                <w:lang w:bidi="ar"/>
              </w:rPr>
              <w:t>62200.00</w:t>
            </w:r>
          </w:p>
        </w:tc>
        <w:tc>
          <w:tcPr>
            <w:tcW w:w="1520" w:type="dxa"/>
            <w:tcBorders>
              <w:top w:val="single" w:color="auto" w:sz="4" w:space="0"/>
              <w:left w:val="nil"/>
              <w:bottom w:val="single" w:color="auto" w:sz="4" w:space="0"/>
              <w:right w:val="single" w:color="auto" w:sz="4" w:space="0"/>
            </w:tcBorders>
            <w:vAlign w:val="center"/>
          </w:tcPr>
          <w:p w14:paraId="0D08F08B">
            <w:pPr>
              <w:widowControl/>
              <w:jc w:val="center"/>
              <w:textAlignment w:val="center"/>
              <w:rPr>
                <w:rFonts w:ascii="宋体" w:hAnsi="宋体" w:eastAsia="宋体"/>
                <w:color w:val="FF0000"/>
                <w:szCs w:val="21"/>
              </w:rPr>
            </w:pPr>
            <w:r>
              <w:rPr>
                <w:rFonts w:hint="eastAsia" w:ascii="宋体" w:hAnsi="宋体" w:eastAsia="宋体" w:cs="宋体"/>
                <w:b/>
                <w:bCs/>
                <w:color w:val="000000"/>
                <w:kern w:val="0"/>
                <w:szCs w:val="21"/>
                <w:lang w:bidi="ar"/>
              </w:rPr>
              <w:t xml:space="preserve">49361.35 </w:t>
            </w:r>
          </w:p>
        </w:tc>
        <w:tc>
          <w:tcPr>
            <w:tcW w:w="2214" w:type="dxa"/>
            <w:tcBorders>
              <w:top w:val="single" w:color="auto" w:sz="4" w:space="0"/>
              <w:left w:val="nil"/>
              <w:bottom w:val="single" w:color="auto" w:sz="4" w:space="0"/>
              <w:right w:val="double" w:color="auto" w:sz="2" w:space="0"/>
            </w:tcBorders>
            <w:vAlign w:val="center"/>
          </w:tcPr>
          <w:p w14:paraId="25F33208">
            <w:pPr>
              <w:widowControl/>
              <w:jc w:val="left"/>
              <w:textAlignment w:val="center"/>
              <w:rPr>
                <w:rFonts w:ascii="宋体" w:hAnsi="宋体" w:eastAsia="宋体" w:cs="宋体"/>
                <w:color w:val="000000"/>
                <w:kern w:val="0"/>
                <w:szCs w:val="21"/>
                <w:lang w:bidi="ar"/>
              </w:rPr>
            </w:pPr>
          </w:p>
        </w:tc>
      </w:tr>
      <w:tr w14:paraId="4CE3E76F">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12" w:type="dxa"/>
            <w:vMerge w:val="restart"/>
            <w:tcBorders>
              <w:top w:val="nil"/>
              <w:left w:val="double" w:color="auto" w:sz="2" w:space="0"/>
              <w:bottom w:val="single" w:color="auto" w:sz="4" w:space="0"/>
              <w:right w:val="single" w:color="auto" w:sz="4" w:space="0"/>
            </w:tcBorders>
            <w:vAlign w:val="center"/>
          </w:tcPr>
          <w:p w14:paraId="12D02D90">
            <w:pPr>
              <w:spacing w:line="280" w:lineRule="exact"/>
              <w:rPr>
                <w:rFonts w:ascii="宋体" w:hAnsi="宋体" w:eastAsia="宋体"/>
                <w:szCs w:val="21"/>
              </w:rPr>
            </w:pPr>
            <w:r>
              <w:rPr>
                <w:rFonts w:hint="eastAsia" w:ascii="宋体" w:hAnsi="宋体" w:eastAsia="宋体"/>
                <w:szCs w:val="21"/>
              </w:rPr>
              <w:t>从关联方接受服务</w:t>
            </w:r>
          </w:p>
        </w:tc>
        <w:tc>
          <w:tcPr>
            <w:tcW w:w="3397" w:type="dxa"/>
            <w:tcBorders>
              <w:top w:val="single" w:color="auto" w:sz="4" w:space="0"/>
              <w:left w:val="nil"/>
              <w:bottom w:val="single" w:color="auto" w:sz="4" w:space="0"/>
              <w:right w:val="single" w:color="auto" w:sz="4" w:space="0"/>
            </w:tcBorders>
            <w:vAlign w:val="center"/>
          </w:tcPr>
          <w:p w14:paraId="725E875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中国成达工程有限公司</w:t>
            </w:r>
          </w:p>
        </w:tc>
        <w:tc>
          <w:tcPr>
            <w:tcW w:w="1599" w:type="dxa"/>
            <w:tcBorders>
              <w:top w:val="single" w:color="auto" w:sz="4" w:space="0"/>
              <w:left w:val="nil"/>
              <w:bottom w:val="single" w:color="auto" w:sz="4" w:space="0"/>
              <w:right w:val="single" w:color="auto" w:sz="4" w:space="0"/>
            </w:tcBorders>
            <w:vAlign w:val="center"/>
          </w:tcPr>
          <w:p w14:paraId="5CB1BEA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50.00</w:t>
            </w:r>
          </w:p>
        </w:tc>
        <w:tc>
          <w:tcPr>
            <w:tcW w:w="1520" w:type="dxa"/>
            <w:tcBorders>
              <w:top w:val="single" w:color="auto" w:sz="4" w:space="0"/>
              <w:left w:val="nil"/>
              <w:bottom w:val="single" w:color="auto" w:sz="4" w:space="0"/>
              <w:right w:val="single" w:color="auto" w:sz="4" w:space="0"/>
            </w:tcBorders>
            <w:shd w:val="clear" w:color="auto" w:fill="auto"/>
            <w:vAlign w:val="center"/>
          </w:tcPr>
          <w:p w14:paraId="7FE434D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2214" w:type="dxa"/>
            <w:tcBorders>
              <w:top w:val="single" w:color="auto" w:sz="4" w:space="0"/>
              <w:left w:val="nil"/>
              <w:bottom w:val="single" w:color="auto" w:sz="4" w:space="0"/>
              <w:right w:val="double" w:color="auto" w:sz="2" w:space="0"/>
            </w:tcBorders>
            <w:shd w:val="clear" w:color="auto" w:fill="auto"/>
            <w:vAlign w:val="center"/>
          </w:tcPr>
          <w:p w14:paraId="3C03C8F5">
            <w:pPr>
              <w:widowControl/>
              <w:jc w:val="left"/>
              <w:textAlignment w:val="center"/>
              <w:rPr>
                <w:rFonts w:ascii="宋体" w:hAnsi="宋体" w:eastAsia="宋体" w:cs="宋体"/>
                <w:color w:val="000000"/>
                <w:kern w:val="0"/>
                <w:szCs w:val="21"/>
                <w:lang w:bidi="ar"/>
              </w:rPr>
            </w:pPr>
          </w:p>
        </w:tc>
      </w:tr>
      <w:tr w14:paraId="69CCA72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vMerge w:val="continue"/>
            <w:tcBorders>
              <w:top w:val="nil"/>
              <w:left w:val="double" w:color="auto" w:sz="2" w:space="0"/>
              <w:bottom w:val="single" w:color="auto" w:sz="4" w:space="0"/>
              <w:right w:val="single" w:color="auto" w:sz="4" w:space="0"/>
            </w:tcBorders>
            <w:vAlign w:val="center"/>
          </w:tcPr>
          <w:p w14:paraId="36D3E94D">
            <w:pPr>
              <w:widowControl/>
              <w:jc w:val="left"/>
              <w:rPr>
                <w:rFonts w:ascii="宋体" w:hAnsi="宋体" w:eastAsia="宋体" w:cs="Calibri"/>
                <w:szCs w:val="21"/>
              </w:rPr>
            </w:pPr>
          </w:p>
        </w:tc>
        <w:tc>
          <w:tcPr>
            <w:tcW w:w="3397" w:type="dxa"/>
            <w:tcBorders>
              <w:top w:val="single" w:color="auto" w:sz="4" w:space="0"/>
              <w:left w:val="nil"/>
              <w:bottom w:val="single" w:color="auto" w:sz="4" w:space="0"/>
              <w:right w:val="single" w:color="auto" w:sz="4" w:space="0"/>
            </w:tcBorders>
            <w:vAlign w:val="center"/>
          </w:tcPr>
          <w:p w14:paraId="4E15A3D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安徽丰和农业有限公司</w:t>
            </w:r>
          </w:p>
        </w:tc>
        <w:tc>
          <w:tcPr>
            <w:tcW w:w="1599" w:type="dxa"/>
            <w:tcBorders>
              <w:top w:val="single" w:color="auto" w:sz="4" w:space="0"/>
              <w:left w:val="nil"/>
              <w:bottom w:val="single" w:color="auto" w:sz="4" w:space="0"/>
              <w:right w:val="single" w:color="auto" w:sz="4" w:space="0"/>
            </w:tcBorders>
            <w:vAlign w:val="center"/>
          </w:tcPr>
          <w:p w14:paraId="6D6DADE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98.00</w:t>
            </w:r>
          </w:p>
        </w:tc>
        <w:tc>
          <w:tcPr>
            <w:tcW w:w="1520" w:type="dxa"/>
            <w:tcBorders>
              <w:top w:val="single" w:color="auto" w:sz="4" w:space="0"/>
              <w:left w:val="nil"/>
              <w:bottom w:val="single" w:color="auto" w:sz="4" w:space="0"/>
              <w:right w:val="single" w:color="auto" w:sz="4" w:space="0"/>
            </w:tcBorders>
            <w:vAlign w:val="center"/>
          </w:tcPr>
          <w:p w14:paraId="4D2E80A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90.27 </w:t>
            </w:r>
          </w:p>
        </w:tc>
        <w:tc>
          <w:tcPr>
            <w:tcW w:w="2214" w:type="dxa"/>
            <w:tcBorders>
              <w:top w:val="single" w:color="auto" w:sz="4" w:space="0"/>
              <w:left w:val="nil"/>
              <w:bottom w:val="single" w:color="auto" w:sz="4" w:space="0"/>
              <w:right w:val="double" w:color="auto" w:sz="2" w:space="0"/>
            </w:tcBorders>
            <w:vAlign w:val="center"/>
          </w:tcPr>
          <w:p w14:paraId="0B3451AE">
            <w:pPr>
              <w:widowControl/>
              <w:jc w:val="left"/>
              <w:textAlignment w:val="center"/>
              <w:rPr>
                <w:rFonts w:ascii="宋体" w:hAnsi="宋体" w:eastAsia="宋体" w:cs="宋体"/>
                <w:color w:val="000000"/>
                <w:kern w:val="0"/>
                <w:szCs w:val="21"/>
                <w:lang w:bidi="ar"/>
              </w:rPr>
            </w:pPr>
          </w:p>
        </w:tc>
      </w:tr>
      <w:tr w14:paraId="7D50E68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vMerge w:val="continue"/>
            <w:tcBorders>
              <w:top w:val="nil"/>
              <w:left w:val="double" w:color="auto" w:sz="2" w:space="0"/>
              <w:bottom w:val="single" w:color="auto" w:sz="4" w:space="0"/>
              <w:right w:val="single" w:color="auto" w:sz="4" w:space="0"/>
            </w:tcBorders>
            <w:vAlign w:val="center"/>
          </w:tcPr>
          <w:p w14:paraId="390AB679">
            <w:pPr>
              <w:widowControl/>
              <w:jc w:val="left"/>
              <w:rPr>
                <w:rFonts w:ascii="宋体" w:hAnsi="宋体" w:eastAsia="宋体" w:cs="Calibri"/>
                <w:szCs w:val="21"/>
              </w:rPr>
            </w:pPr>
          </w:p>
        </w:tc>
        <w:tc>
          <w:tcPr>
            <w:tcW w:w="3397" w:type="dxa"/>
            <w:tcBorders>
              <w:top w:val="single" w:color="auto" w:sz="4" w:space="0"/>
              <w:left w:val="nil"/>
              <w:bottom w:val="single" w:color="auto" w:sz="4" w:space="0"/>
              <w:right w:val="single" w:color="auto" w:sz="4" w:space="0"/>
            </w:tcBorders>
            <w:vAlign w:val="center"/>
          </w:tcPr>
          <w:p w14:paraId="2C68CE6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安徽雷鸣爆破工程有限责任公司无为分公司</w:t>
            </w:r>
          </w:p>
        </w:tc>
        <w:tc>
          <w:tcPr>
            <w:tcW w:w="1599" w:type="dxa"/>
            <w:tcBorders>
              <w:top w:val="single" w:color="auto" w:sz="4" w:space="0"/>
              <w:left w:val="nil"/>
              <w:bottom w:val="single" w:color="auto" w:sz="4" w:space="0"/>
              <w:right w:val="single" w:color="auto" w:sz="4" w:space="0"/>
            </w:tcBorders>
            <w:vAlign w:val="center"/>
          </w:tcPr>
          <w:p w14:paraId="546F820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15206.00</w:t>
            </w:r>
          </w:p>
        </w:tc>
        <w:tc>
          <w:tcPr>
            <w:tcW w:w="1520" w:type="dxa"/>
            <w:tcBorders>
              <w:top w:val="single" w:color="auto" w:sz="4" w:space="0"/>
              <w:left w:val="nil"/>
              <w:bottom w:val="single" w:color="auto" w:sz="4" w:space="0"/>
              <w:right w:val="single" w:color="auto" w:sz="4" w:space="0"/>
            </w:tcBorders>
            <w:vAlign w:val="center"/>
          </w:tcPr>
          <w:p w14:paraId="13D6E04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15883.96 </w:t>
            </w:r>
          </w:p>
        </w:tc>
        <w:tc>
          <w:tcPr>
            <w:tcW w:w="2214" w:type="dxa"/>
            <w:tcBorders>
              <w:top w:val="single" w:color="auto" w:sz="4" w:space="0"/>
              <w:left w:val="nil"/>
              <w:bottom w:val="single" w:color="auto" w:sz="4" w:space="0"/>
              <w:right w:val="double" w:color="auto" w:sz="2" w:space="0"/>
            </w:tcBorders>
            <w:vAlign w:val="center"/>
          </w:tcPr>
          <w:p w14:paraId="4763DE9A">
            <w:pPr>
              <w:widowControl/>
              <w:jc w:val="left"/>
              <w:textAlignment w:val="center"/>
              <w:rPr>
                <w:rFonts w:ascii="宋体" w:hAnsi="宋体" w:eastAsia="宋体" w:cs="宋体"/>
                <w:color w:val="000000"/>
                <w:kern w:val="0"/>
                <w:szCs w:val="21"/>
                <w:lang w:bidi="ar"/>
              </w:rPr>
            </w:pPr>
          </w:p>
        </w:tc>
      </w:tr>
      <w:tr w14:paraId="5646AA2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vMerge w:val="continue"/>
            <w:tcBorders>
              <w:top w:val="nil"/>
              <w:left w:val="double" w:color="auto" w:sz="2" w:space="0"/>
              <w:bottom w:val="single" w:color="auto" w:sz="4" w:space="0"/>
              <w:right w:val="single" w:color="auto" w:sz="4" w:space="0"/>
            </w:tcBorders>
            <w:vAlign w:val="center"/>
          </w:tcPr>
          <w:p w14:paraId="09871063">
            <w:pPr>
              <w:widowControl/>
              <w:jc w:val="left"/>
              <w:rPr>
                <w:rFonts w:ascii="宋体" w:hAnsi="宋体" w:eastAsia="宋体" w:cs="Calibri"/>
                <w:szCs w:val="21"/>
              </w:rPr>
            </w:pPr>
          </w:p>
        </w:tc>
        <w:tc>
          <w:tcPr>
            <w:tcW w:w="3397" w:type="dxa"/>
            <w:tcBorders>
              <w:top w:val="single" w:color="auto" w:sz="4" w:space="0"/>
              <w:left w:val="nil"/>
              <w:bottom w:val="single" w:color="auto" w:sz="4" w:space="0"/>
              <w:right w:val="single" w:color="auto" w:sz="4" w:space="0"/>
            </w:tcBorders>
            <w:vAlign w:val="center"/>
          </w:tcPr>
          <w:p w14:paraId="52CE3D1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淮北矿业集团供应链科技有限公司</w:t>
            </w:r>
          </w:p>
        </w:tc>
        <w:tc>
          <w:tcPr>
            <w:tcW w:w="1599" w:type="dxa"/>
            <w:tcBorders>
              <w:top w:val="single" w:color="auto" w:sz="4" w:space="0"/>
              <w:left w:val="nil"/>
              <w:bottom w:val="single" w:color="auto" w:sz="4" w:space="0"/>
              <w:right w:val="single" w:color="auto" w:sz="4" w:space="0"/>
            </w:tcBorders>
            <w:vAlign w:val="center"/>
          </w:tcPr>
          <w:p w14:paraId="3CE16E3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5145.00</w:t>
            </w:r>
          </w:p>
        </w:tc>
        <w:tc>
          <w:tcPr>
            <w:tcW w:w="1520" w:type="dxa"/>
            <w:tcBorders>
              <w:top w:val="single" w:color="auto" w:sz="4" w:space="0"/>
              <w:left w:val="nil"/>
              <w:bottom w:val="single" w:color="auto" w:sz="4" w:space="0"/>
              <w:right w:val="single" w:color="auto" w:sz="4" w:space="0"/>
            </w:tcBorders>
            <w:vAlign w:val="center"/>
          </w:tcPr>
          <w:p w14:paraId="46A12EA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2723.18 </w:t>
            </w:r>
          </w:p>
        </w:tc>
        <w:tc>
          <w:tcPr>
            <w:tcW w:w="2214" w:type="dxa"/>
            <w:tcBorders>
              <w:top w:val="single" w:color="auto" w:sz="4" w:space="0"/>
              <w:left w:val="nil"/>
              <w:bottom w:val="single" w:color="auto" w:sz="4" w:space="0"/>
              <w:right w:val="double" w:color="auto" w:sz="2" w:space="0"/>
            </w:tcBorders>
            <w:shd w:val="clear" w:color="auto" w:fill="auto"/>
            <w:vAlign w:val="center"/>
          </w:tcPr>
          <w:p w14:paraId="6201C190">
            <w:pPr>
              <w:widowControl/>
              <w:jc w:val="left"/>
              <w:textAlignment w:val="center"/>
              <w:rPr>
                <w:rFonts w:ascii="宋体" w:hAnsi="宋体" w:eastAsia="宋体" w:cs="宋体"/>
                <w:color w:val="000000"/>
                <w:kern w:val="0"/>
                <w:szCs w:val="21"/>
                <w:lang w:bidi="ar"/>
              </w:rPr>
            </w:pPr>
          </w:p>
        </w:tc>
      </w:tr>
      <w:tr w14:paraId="660A35D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vMerge w:val="continue"/>
            <w:tcBorders>
              <w:top w:val="nil"/>
              <w:left w:val="double" w:color="auto" w:sz="2" w:space="0"/>
              <w:bottom w:val="single" w:color="auto" w:sz="4" w:space="0"/>
              <w:right w:val="single" w:color="auto" w:sz="4" w:space="0"/>
            </w:tcBorders>
            <w:vAlign w:val="center"/>
          </w:tcPr>
          <w:p w14:paraId="61FECACF">
            <w:pPr>
              <w:widowControl/>
              <w:jc w:val="left"/>
              <w:rPr>
                <w:rFonts w:ascii="宋体" w:hAnsi="宋体" w:eastAsia="宋体" w:cs="Calibri"/>
                <w:szCs w:val="21"/>
              </w:rPr>
            </w:pPr>
          </w:p>
        </w:tc>
        <w:tc>
          <w:tcPr>
            <w:tcW w:w="3397" w:type="dxa"/>
            <w:tcBorders>
              <w:top w:val="single" w:color="auto" w:sz="4" w:space="0"/>
              <w:left w:val="nil"/>
              <w:bottom w:val="single" w:color="auto" w:sz="4" w:space="0"/>
              <w:right w:val="single" w:color="auto" w:sz="4" w:space="0"/>
            </w:tcBorders>
            <w:vAlign w:val="center"/>
          </w:tcPr>
          <w:p w14:paraId="20C59172">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淮北矿业集团（滁州）华塑物流有限公司</w:t>
            </w:r>
          </w:p>
        </w:tc>
        <w:tc>
          <w:tcPr>
            <w:tcW w:w="1599" w:type="dxa"/>
            <w:tcBorders>
              <w:top w:val="single" w:color="auto" w:sz="4" w:space="0"/>
              <w:left w:val="nil"/>
              <w:bottom w:val="single" w:color="auto" w:sz="4" w:space="0"/>
              <w:right w:val="single" w:color="auto" w:sz="4" w:space="0"/>
            </w:tcBorders>
            <w:shd w:val="clear" w:color="auto" w:fill="auto"/>
            <w:vAlign w:val="center"/>
          </w:tcPr>
          <w:p w14:paraId="4594B0A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6447.00</w:t>
            </w:r>
          </w:p>
        </w:tc>
        <w:tc>
          <w:tcPr>
            <w:tcW w:w="1520" w:type="dxa"/>
            <w:tcBorders>
              <w:top w:val="single" w:color="auto" w:sz="4" w:space="0"/>
              <w:left w:val="nil"/>
              <w:bottom w:val="single" w:color="auto" w:sz="4" w:space="0"/>
              <w:right w:val="single" w:color="auto" w:sz="4" w:space="0"/>
            </w:tcBorders>
            <w:shd w:val="clear" w:color="auto" w:fill="auto"/>
            <w:vAlign w:val="center"/>
          </w:tcPr>
          <w:p w14:paraId="6AE7CA7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5635.88 </w:t>
            </w:r>
          </w:p>
        </w:tc>
        <w:tc>
          <w:tcPr>
            <w:tcW w:w="2214" w:type="dxa"/>
            <w:tcBorders>
              <w:top w:val="single" w:color="auto" w:sz="4" w:space="0"/>
              <w:left w:val="nil"/>
              <w:bottom w:val="single" w:color="auto" w:sz="4" w:space="0"/>
              <w:right w:val="double" w:color="auto" w:sz="2" w:space="0"/>
            </w:tcBorders>
            <w:vAlign w:val="center"/>
          </w:tcPr>
          <w:p w14:paraId="31AD2DDA">
            <w:pPr>
              <w:widowControl/>
              <w:jc w:val="left"/>
              <w:textAlignment w:val="center"/>
              <w:rPr>
                <w:rFonts w:ascii="宋体" w:hAnsi="宋体" w:eastAsia="宋体" w:cs="宋体"/>
                <w:color w:val="000000"/>
                <w:kern w:val="0"/>
                <w:szCs w:val="21"/>
                <w:lang w:bidi="ar"/>
              </w:rPr>
            </w:pPr>
          </w:p>
        </w:tc>
      </w:tr>
      <w:tr w14:paraId="49A75E6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vMerge w:val="continue"/>
            <w:tcBorders>
              <w:top w:val="nil"/>
              <w:left w:val="double" w:color="auto" w:sz="2" w:space="0"/>
              <w:bottom w:val="single" w:color="auto" w:sz="4" w:space="0"/>
              <w:right w:val="single" w:color="auto" w:sz="4" w:space="0"/>
            </w:tcBorders>
            <w:vAlign w:val="center"/>
          </w:tcPr>
          <w:p w14:paraId="5C1C71B1">
            <w:pPr>
              <w:widowControl/>
              <w:jc w:val="left"/>
              <w:rPr>
                <w:rFonts w:ascii="宋体" w:hAnsi="宋体" w:eastAsia="宋体" w:cs="Calibri"/>
                <w:szCs w:val="21"/>
              </w:rPr>
            </w:pPr>
          </w:p>
        </w:tc>
        <w:tc>
          <w:tcPr>
            <w:tcW w:w="3397" w:type="dxa"/>
            <w:tcBorders>
              <w:top w:val="single" w:color="auto" w:sz="4" w:space="0"/>
              <w:left w:val="nil"/>
              <w:bottom w:val="single" w:color="auto" w:sz="4" w:space="0"/>
              <w:right w:val="single" w:color="auto" w:sz="4" w:space="0"/>
            </w:tcBorders>
            <w:vAlign w:val="center"/>
          </w:tcPr>
          <w:p w14:paraId="78F3D75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淮北矿业（集团）有限责任公司及其下属公司</w:t>
            </w:r>
          </w:p>
        </w:tc>
        <w:tc>
          <w:tcPr>
            <w:tcW w:w="1599" w:type="dxa"/>
            <w:tcBorders>
              <w:top w:val="single" w:color="auto" w:sz="4" w:space="0"/>
              <w:left w:val="nil"/>
              <w:bottom w:val="single" w:color="auto" w:sz="4" w:space="0"/>
              <w:right w:val="single" w:color="auto" w:sz="4" w:space="0"/>
            </w:tcBorders>
            <w:shd w:val="clear" w:color="auto" w:fill="auto"/>
            <w:vAlign w:val="center"/>
          </w:tcPr>
          <w:p w14:paraId="63A017D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2855.59</w:t>
            </w:r>
          </w:p>
        </w:tc>
        <w:tc>
          <w:tcPr>
            <w:tcW w:w="1520" w:type="dxa"/>
            <w:tcBorders>
              <w:top w:val="single" w:color="auto" w:sz="4" w:space="0"/>
              <w:left w:val="nil"/>
              <w:bottom w:val="single" w:color="auto" w:sz="4" w:space="0"/>
              <w:right w:val="single" w:color="auto" w:sz="4" w:space="0"/>
            </w:tcBorders>
            <w:shd w:val="clear" w:color="auto" w:fill="auto"/>
            <w:vAlign w:val="center"/>
          </w:tcPr>
          <w:p w14:paraId="0A0A1AD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6479.96 </w:t>
            </w:r>
          </w:p>
        </w:tc>
        <w:tc>
          <w:tcPr>
            <w:tcW w:w="2214" w:type="dxa"/>
            <w:tcBorders>
              <w:top w:val="single" w:color="auto" w:sz="4" w:space="0"/>
              <w:left w:val="nil"/>
              <w:bottom w:val="single" w:color="auto" w:sz="4" w:space="0"/>
              <w:right w:val="double" w:color="auto" w:sz="2" w:space="0"/>
            </w:tcBorders>
            <w:vAlign w:val="center"/>
          </w:tcPr>
          <w:p w14:paraId="73447D2F">
            <w:pPr>
              <w:widowControl/>
              <w:jc w:val="left"/>
              <w:textAlignment w:val="center"/>
              <w:rPr>
                <w:rFonts w:ascii="宋体" w:hAnsi="宋体" w:eastAsia="宋体" w:cs="宋体"/>
                <w:color w:val="000000"/>
                <w:kern w:val="0"/>
                <w:szCs w:val="21"/>
                <w:lang w:bidi="ar"/>
              </w:rPr>
            </w:pPr>
            <w:r>
              <w:rPr>
                <w:rFonts w:hint="eastAsia" w:ascii="宋体" w:hAnsi="宋体" w:eastAsia="宋体" w:cs="宋体"/>
                <w:szCs w:val="21"/>
              </w:rPr>
              <w:t>主要系2</w:t>
            </w:r>
            <w:r>
              <w:rPr>
                <w:rFonts w:ascii="宋体" w:hAnsi="宋体" w:eastAsia="宋体" w:cs="宋体"/>
                <w:szCs w:val="21"/>
              </w:rPr>
              <w:t>024</w:t>
            </w:r>
            <w:r>
              <w:rPr>
                <w:rFonts w:hint="eastAsia" w:ascii="宋体" w:hAnsi="宋体" w:eastAsia="宋体" w:cs="宋体"/>
                <w:szCs w:val="21"/>
              </w:rPr>
              <w:t>年实际发生额中含</w:t>
            </w:r>
            <w:r>
              <w:rPr>
                <w:rFonts w:hint="eastAsia" w:ascii="宋体" w:hAnsi="宋体" w:eastAsia="宋体"/>
                <w:szCs w:val="21"/>
              </w:rPr>
              <w:t>淮北矿业（集团）工程建设有限责任公司招标方式承包中央控制室的工程建设费和装修装饰费2582.68万元。</w:t>
            </w:r>
          </w:p>
        </w:tc>
      </w:tr>
      <w:tr w14:paraId="1E11AFE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vMerge w:val="continue"/>
            <w:tcBorders>
              <w:top w:val="nil"/>
              <w:left w:val="double" w:color="auto" w:sz="2" w:space="0"/>
              <w:bottom w:val="single" w:color="auto" w:sz="4" w:space="0"/>
              <w:right w:val="single" w:color="auto" w:sz="4" w:space="0"/>
            </w:tcBorders>
            <w:vAlign w:val="center"/>
          </w:tcPr>
          <w:p w14:paraId="0F9C16C6">
            <w:pPr>
              <w:widowControl/>
              <w:jc w:val="left"/>
              <w:rPr>
                <w:rFonts w:ascii="宋体" w:hAnsi="宋体" w:eastAsia="宋体" w:cs="Calibri"/>
                <w:szCs w:val="21"/>
              </w:rPr>
            </w:pPr>
          </w:p>
        </w:tc>
        <w:tc>
          <w:tcPr>
            <w:tcW w:w="3397" w:type="dxa"/>
            <w:tcBorders>
              <w:top w:val="single" w:color="auto" w:sz="4" w:space="0"/>
              <w:left w:val="nil"/>
              <w:bottom w:val="single" w:color="auto" w:sz="4" w:space="0"/>
              <w:right w:val="single" w:color="auto" w:sz="4" w:space="0"/>
            </w:tcBorders>
            <w:vAlign w:val="center"/>
          </w:tcPr>
          <w:p w14:paraId="7362677A">
            <w:pPr>
              <w:widowControl/>
              <w:spacing w:line="280" w:lineRule="exact"/>
              <w:jc w:val="center"/>
              <w:rPr>
                <w:rFonts w:ascii="宋体" w:hAnsi="宋体" w:eastAsia="宋体"/>
                <w:szCs w:val="21"/>
              </w:rPr>
            </w:pPr>
            <w:r>
              <w:rPr>
                <w:rFonts w:hint="eastAsia" w:ascii="宋体" w:hAnsi="宋体" w:eastAsia="宋体"/>
                <w:szCs w:val="21"/>
              </w:rPr>
              <w:t>小计</w:t>
            </w:r>
          </w:p>
        </w:tc>
        <w:tc>
          <w:tcPr>
            <w:tcW w:w="1599" w:type="dxa"/>
            <w:tcBorders>
              <w:top w:val="single" w:color="auto" w:sz="4" w:space="0"/>
              <w:left w:val="nil"/>
              <w:bottom w:val="single" w:color="auto" w:sz="4" w:space="0"/>
              <w:right w:val="single" w:color="auto" w:sz="4" w:space="0"/>
            </w:tcBorders>
            <w:shd w:val="clear" w:color="auto" w:fill="auto"/>
            <w:vAlign w:val="center"/>
          </w:tcPr>
          <w:p w14:paraId="6960DA86">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29801.59</w:t>
            </w:r>
          </w:p>
        </w:tc>
        <w:tc>
          <w:tcPr>
            <w:tcW w:w="1520" w:type="dxa"/>
            <w:tcBorders>
              <w:top w:val="single" w:color="auto" w:sz="4" w:space="0"/>
              <w:left w:val="nil"/>
              <w:bottom w:val="single" w:color="auto" w:sz="4" w:space="0"/>
              <w:right w:val="single" w:color="auto" w:sz="4" w:space="0"/>
            </w:tcBorders>
            <w:shd w:val="clear" w:color="auto" w:fill="auto"/>
            <w:vAlign w:val="center"/>
          </w:tcPr>
          <w:p w14:paraId="48F37D1E">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 xml:space="preserve">30813.25 </w:t>
            </w:r>
          </w:p>
        </w:tc>
        <w:tc>
          <w:tcPr>
            <w:tcW w:w="2214" w:type="dxa"/>
            <w:tcBorders>
              <w:top w:val="single" w:color="auto" w:sz="4" w:space="0"/>
              <w:left w:val="nil"/>
              <w:bottom w:val="single" w:color="auto" w:sz="4" w:space="0"/>
              <w:right w:val="double" w:color="auto" w:sz="2" w:space="0"/>
            </w:tcBorders>
            <w:vAlign w:val="center"/>
          </w:tcPr>
          <w:p w14:paraId="0AC0A78F">
            <w:pPr>
              <w:widowControl/>
              <w:jc w:val="left"/>
              <w:textAlignment w:val="center"/>
              <w:rPr>
                <w:rFonts w:ascii="宋体" w:hAnsi="宋体" w:eastAsia="宋体" w:cs="宋体"/>
                <w:color w:val="000000"/>
                <w:kern w:val="0"/>
                <w:szCs w:val="21"/>
                <w:lang w:bidi="ar"/>
              </w:rPr>
            </w:pPr>
          </w:p>
        </w:tc>
      </w:tr>
      <w:tr w14:paraId="7474D81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vMerge w:val="restart"/>
            <w:tcBorders>
              <w:top w:val="nil"/>
              <w:left w:val="double" w:color="auto" w:sz="2" w:space="0"/>
              <w:bottom w:val="single" w:color="auto" w:sz="4" w:space="0"/>
              <w:right w:val="single" w:color="auto" w:sz="4" w:space="0"/>
            </w:tcBorders>
            <w:vAlign w:val="center"/>
          </w:tcPr>
          <w:p w14:paraId="4B5FE01C">
            <w:pPr>
              <w:spacing w:line="280" w:lineRule="exact"/>
              <w:rPr>
                <w:rFonts w:ascii="宋体" w:hAnsi="宋体" w:eastAsia="宋体"/>
                <w:szCs w:val="21"/>
              </w:rPr>
            </w:pPr>
            <w:r>
              <w:rPr>
                <w:rFonts w:hint="eastAsia" w:ascii="宋体" w:hAnsi="宋体" w:eastAsia="宋体"/>
                <w:szCs w:val="21"/>
              </w:rPr>
              <w:t>向关联方销售产品、商品</w:t>
            </w:r>
          </w:p>
        </w:tc>
        <w:tc>
          <w:tcPr>
            <w:tcW w:w="3397" w:type="dxa"/>
            <w:tcBorders>
              <w:top w:val="single" w:color="auto" w:sz="4" w:space="0"/>
              <w:left w:val="nil"/>
              <w:bottom w:val="single" w:color="auto" w:sz="4" w:space="0"/>
              <w:right w:val="single" w:color="auto" w:sz="4" w:space="0"/>
            </w:tcBorders>
            <w:vAlign w:val="center"/>
          </w:tcPr>
          <w:p w14:paraId="1FFD1A3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淮北矿业（集团）有限责任公司及其下属公司</w:t>
            </w:r>
          </w:p>
        </w:tc>
        <w:tc>
          <w:tcPr>
            <w:tcW w:w="1599" w:type="dxa"/>
            <w:tcBorders>
              <w:top w:val="single" w:color="auto" w:sz="4" w:space="0"/>
              <w:left w:val="nil"/>
              <w:bottom w:val="single" w:color="auto" w:sz="4" w:space="0"/>
              <w:right w:val="single" w:color="auto" w:sz="4" w:space="0"/>
            </w:tcBorders>
            <w:shd w:val="clear" w:color="auto" w:fill="auto"/>
            <w:vAlign w:val="center"/>
          </w:tcPr>
          <w:p w14:paraId="52B6527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3095.13</w:t>
            </w:r>
          </w:p>
        </w:tc>
        <w:tc>
          <w:tcPr>
            <w:tcW w:w="1520" w:type="dxa"/>
            <w:tcBorders>
              <w:top w:val="single" w:color="auto" w:sz="4" w:space="0"/>
              <w:left w:val="nil"/>
              <w:bottom w:val="single" w:color="auto" w:sz="4" w:space="0"/>
              <w:right w:val="single" w:color="auto" w:sz="4" w:space="0"/>
            </w:tcBorders>
            <w:shd w:val="clear" w:color="auto" w:fill="auto"/>
            <w:vAlign w:val="center"/>
          </w:tcPr>
          <w:p w14:paraId="1F5530E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2165.70 </w:t>
            </w:r>
          </w:p>
        </w:tc>
        <w:tc>
          <w:tcPr>
            <w:tcW w:w="2214" w:type="dxa"/>
            <w:tcBorders>
              <w:top w:val="single" w:color="auto" w:sz="4" w:space="0"/>
              <w:left w:val="nil"/>
              <w:bottom w:val="single" w:color="auto" w:sz="4" w:space="0"/>
              <w:right w:val="double" w:color="auto" w:sz="2" w:space="0"/>
            </w:tcBorders>
            <w:shd w:val="clear" w:color="auto" w:fill="auto"/>
            <w:vAlign w:val="center"/>
          </w:tcPr>
          <w:p w14:paraId="1283580D">
            <w:pPr>
              <w:widowControl/>
              <w:jc w:val="left"/>
              <w:textAlignment w:val="center"/>
              <w:rPr>
                <w:rFonts w:ascii="宋体" w:hAnsi="宋体" w:eastAsia="宋体" w:cs="宋体"/>
                <w:color w:val="000000"/>
                <w:kern w:val="0"/>
                <w:szCs w:val="21"/>
                <w:lang w:bidi="ar"/>
              </w:rPr>
            </w:pPr>
          </w:p>
        </w:tc>
      </w:tr>
      <w:tr w14:paraId="530326C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vMerge w:val="continue"/>
            <w:tcBorders>
              <w:top w:val="nil"/>
              <w:left w:val="double" w:color="auto" w:sz="2" w:space="0"/>
              <w:bottom w:val="single" w:color="auto" w:sz="4" w:space="0"/>
              <w:right w:val="single" w:color="auto" w:sz="4" w:space="0"/>
            </w:tcBorders>
            <w:vAlign w:val="center"/>
          </w:tcPr>
          <w:p w14:paraId="30175896">
            <w:pPr>
              <w:spacing w:line="280" w:lineRule="exact"/>
              <w:rPr>
                <w:rFonts w:ascii="宋体" w:hAnsi="宋体" w:eastAsia="宋体"/>
                <w:szCs w:val="21"/>
              </w:rPr>
            </w:pPr>
          </w:p>
        </w:tc>
        <w:tc>
          <w:tcPr>
            <w:tcW w:w="3397" w:type="dxa"/>
            <w:tcBorders>
              <w:top w:val="single" w:color="auto" w:sz="4" w:space="0"/>
              <w:left w:val="nil"/>
              <w:bottom w:val="single" w:color="auto" w:sz="4" w:space="0"/>
              <w:right w:val="single" w:color="auto" w:sz="4" w:space="0"/>
            </w:tcBorders>
            <w:vAlign w:val="center"/>
          </w:tcPr>
          <w:p w14:paraId="2C9280A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安徽省安庆市曙光化工股份有限公司</w:t>
            </w:r>
          </w:p>
        </w:tc>
        <w:tc>
          <w:tcPr>
            <w:tcW w:w="1599" w:type="dxa"/>
            <w:tcBorders>
              <w:top w:val="single" w:color="auto" w:sz="4" w:space="0"/>
              <w:left w:val="nil"/>
              <w:bottom w:val="single" w:color="auto" w:sz="4" w:space="0"/>
              <w:right w:val="single" w:color="auto" w:sz="4" w:space="0"/>
            </w:tcBorders>
            <w:vAlign w:val="center"/>
          </w:tcPr>
          <w:p w14:paraId="0A63A48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10000.00</w:t>
            </w:r>
          </w:p>
        </w:tc>
        <w:tc>
          <w:tcPr>
            <w:tcW w:w="1520" w:type="dxa"/>
            <w:tcBorders>
              <w:top w:val="single" w:color="auto" w:sz="4" w:space="0"/>
              <w:left w:val="nil"/>
              <w:bottom w:val="single" w:color="auto" w:sz="4" w:space="0"/>
              <w:right w:val="single" w:color="auto" w:sz="4" w:space="0"/>
            </w:tcBorders>
            <w:vAlign w:val="center"/>
          </w:tcPr>
          <w:p w14:paraId="3731CBC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7246.93</w:t>
            </w:r>
          </w:p>
        </w:tc>
        <w:tc>
          <w:tcPr>
            <w:tcW w:w="2214" w:type="dxa"/>
            <w:tcBorders>
              <w:top w:val="single" w:color="auto" w:sz="4" w:space="0"/>
              <w:left w:val="nil"/>
              <w:bottom w:val="single" w:color="auto" w:sz="4" w:space="0"/>
              <w:right w:val="double" w:color="auto" w:sz="2" w:space="0"/>
            </w:tcBorders>
            <w:vAlign w:val="center"/>
          </w:tcPr>
          <w:p w14:paraId="17A2EEB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2025年市场行情波动金额有所浮动</w:t>
            </w:r>
          </w:p>
        </w:tc>
      </w:tr>
      <w:tr w14:paraId="6E39C0D4">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vMerge w:val="continue"/>
            <w:tcBorders>
              <w:top w:val="nil"/>
              <w:left w:val="double" w:color="auto" w:sz="2" w:space="0"/>
              <w:bottom w:val="single" w:color="auto" w:sz="4" w:space="0"/>
              <w:right w:val="single" w:color="auto" w:sz="4" w:space="0"/>
            </w:tcBorders>
            <w:vAlign w:val="center"/>
          </w:tcPr>
          <w:p w14:paraId="35C03114">
            <w:pPr>
              <w:spacing w:line="280" w:lineRule="exact"/>
              <w:rPr>
                <w:rFonts w:ascii="宋体" w:hAnsi="宋体" w:eastAsia="宋体"/>
                <w:szCs w:val="21"/>
              </w:rPr>
            </w:pPr>
          </w:p>
        </w:tc>
        <w:tc>
          <w:tcPr>
            <w:tcW w:w="3397" w:type="dxa"/>
            <w:tcBorders>
              <w:top w:val="single" w:color="auto" w:sz="4" w:space="0"/>
              <w:left w:val="nil"/>
              <w:bottom w:val="single" w:color="auto" w:sz="4" w:space="0"/>
              <w:right w:val="single" w:color="auto" w:sz="4" w:space="0"/>
            </w:tcBorders>
            <w:vAlign w:val="center"/>
          </w:tcPr>
          <w:p w14:paraId="0F0C7BEB">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淮北矿业集团大榭能源化工有限公司</w:t>
            </w:r>
          </w:p>
        </w:tc>
        <w:tc>
          <w:tcPr>
            <w:tcW w:w="1599" w:type="dxa"/>
            <w:tcBorders>
              <w:top w:val="single" w:color="auto" w:sz="4" w:space="0"/>
              <w:left w:val="nil"/>
              <w:bottom w:val="single" w:color="auto" w:sz="4" w:space="0"/>
              <w:right w:val="single" w:color="auto" w:sz="4" w:space="0"/>
            </w:tcBorders>
            <w:vAlign w:val="center"/>
          </w:tcPr>
          <w:p w14:paraId="0AF8765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5000.00</w:t>
            </w:r>
          </w:p>
        </w:tc>
        <w:tc>
          <w:tcPr>
            <w:tcW w:w="1520" w:type="dxa"/>
            <w:tcBorders>
              <w:top w:val="single" w:color="auto" w:sz="4" w:space="0"/>
              <w:left w:val="nil"/>
              <w:bottom w:val="single" w:color="auto" w:sz="4" w:space="0"/>
              <w:right w:val="single" w:color="auto" w:sz="4" w:space="0"/>
            </w:tcBorders>
            <w:vAlign w:val="center"/>
          </w:tcPr>
          <w:p w14:paraId="682EC71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0.00</w:t>
            </w:r>
          </w:p>
        </w:tc>
        <w:tc>
          <w:tcPr>
            <w:tcW w:w="2214" w:type="dxa"/>
            <w:tcBorders>
              <w:top w:val="single" w:color="auto" w:sz="4" w:space="0"/>
              <w:left w:val="nil"/>
              <w:bottom w:val="single" w:color="auto" w:sz="4" w:space="0"/>
              <w:right w:val="double" w:color="auto" w:sz="2" w:space="0"/>
            </w:tcBorders>
            <w:shd w:val="clear" w:color="auto" w:fill="auto"/>
            <w:vAlign w:val="center"/>
          </w:tcPr>
          <w:p w14:paraId="697DDB0D">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主要系2024年未发生业务。</w:t>
            </w:r>
          </w:p>
        </w:tc>
      </w:tr>
      <w:tr w14:paraId="4FC0DBA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vMerge w:val="continue"/>
            <w:tcBorders>
              <w:top w:val="nil"/>
              <w:left w:val="double" w:color="auto" w:sz="2" w:space="0"/>
              <w:bottom w:val="single" w:color="auto" w:sz="4" w:space="0"/>
              <w:right w:val="single" w:color="auto" w:sz="4" w:space="0"/>
            </w:tcBorders>
            <w:vAlign w:val="center"/>
          </w:tcPr>
          <w:p w14:paraId="678E2DCA">
            <w:pPr>
              <w:widowControl/>
              <w:jc w:val="left"/>
              <w:rPr>
                <w:rFonts w:ascii="宋体" w:hAnsi="宋体" w:eastAsia="宋体" w:cs="Calibri"/>
                <w:szCs w:val="21"/>
              </w:rPr>
            </w:pPr>
          </w:p>
        </w:tc>
        <w:tc>
          <w:tcPr>
            <w:tcW w:w="3397" w:type="dxa"/>
            <w:tcBorders>
              <w:top w:val="single" w:color="auto" w:sz="4" w:space="0"/>
              <w:left w:val="nil"/>
              <w:bottom w:val="single" w:color="auto" w:sz="4" w:space="0"/>
              <w:right w:val="single" w:color="auto" w:sz="4" w:space="0"/>
            </w:tcBorders>
            <w:vAlign w:val="center"/>
          </w:tcPr>
          <w:p w14:paraId="674A8384">
            <w:pPr>
              <w:widowControl/>
              <w:spacing w:line="280" w:lineRule="exact"/>
              <w:rPr>
                <w:rFonts w:ascii="宋体" w:hAnsi="宋体" w:eastAsia="宋体"/>
                <w:szCs w:val="21"/>
              </w:rPr>
            </w:pPr>
            <w:r>
              <w:rPr>
                <w:rFonts w:hint="eastAsia" w:ascii="宋体" w:hAnsi="宋体" w:eastAsia="宋体"/>
                <w:szCs w:val="21"/>
              </w:rPr>
              <w:t>小计</w:t>
            </w:r>
          </w:p>
        </w:tc>
        <w:tc>
          <w:tcPr>
            <w:tcW w:w="1599" w:type="dxa"/>
            <w:tcBorders>
              <w:top w:val="single" w:color="auto" w:sz="4" w:space="0"/>
              <w:left w:val="nil"/>
              <w:bottom w:val="single" w:color="auto" w:sz="4" w:space="0"/>
              <w:right w:val="single" w:color="auto" w:sz="4" w:space="0"/>
            </w:tcBorders>
            <w:shd w:val="clear" w:color="auto" w:fill="auto"/>
            <w:vAlign w:val="center"/>
          </w:tcPr>
          <w:p w14:paraId="48CE87D1">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18095.13</w:t>
            </w:r>
          </w:p>
        </w:tc>
        <w:tc>
          <w:tcPr>
            <w:tcW w:w="1520" w:type="dxa"/>
            <w:tcBorders>
              <w:top w:val="single" w:color="auto" w:sz="4" w:space="0"/>
              <w:left w:val="nil"/>
              <w:bottom w:val="single" w:color="auto" w:sz="4" w:space="0"/>
              <w:right w:val="single" w:color="auto" w:sz="4" w:space="0"/>
            </w:tcBorders>
            <w:shd w:val="clear" w:color="auto" w:fill="auto"/>
            <w:vAlign w:val="center"/>
          </w:tcPr>
          <w:p w14:paraId="39CB9C40">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 xml:space="preserve">9456.25 </w:t>
            </w:r>
          </w:p>
        </w:tc>
        <w:tc>
          <w:tcPr>
            <w:tcW w:w="2214" w:type="dxa"/>
            <w:tcBorders>
              <w:top w:val="single" w:color="auto" w:sz="4" w:space="0"/>
              <w:left w:val="nil"/>
              <w:bottom w:val="single" w:color="auto" w:sz="4" w:space="0"/>
              <w:right w:val="double" w:color="auto" w:sz="2" w:space="0"/>
            </w:tcBorders>
            <w:vAlign w:val="center"/>
          </w:tcPr>
          <w:p w14:paraId="2C63E031">
            <w:pPr>
              <w:spacing w:line="280" w:lineRule="exact"/>
              <w:ind w:firstLine="360"/>
              <w:rPr>
                <w:rFonts w:ascii="宋体" w:hAnsi="宋体" w:eastAsia="宋体"/>
                <w:szCs w:val="21"/>
              </w:rPr>
            </w:pPr>
          </w:p>
        </w:tc>
      </w:tr>
      <w:tr w14:paraId="0602E97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tcBorders>
              <w:top w:val="single" w:color="auto" w:sz="4" w:space="0"/>
              <w:left w:val="double" w:color="auto" w:sz="2" w:space="0"/>
              <w:bottom w:val="single" w:color="auto" w:sz="4" w:space="0"/>
              <w:right w:val="single" w:color="auto" w:sz="4" w:space="0"/>
            </w:tcBorders>
            <w:vAlign w:val="center"/>
          </w:tcPr>
          <w:p w14:paraId="2DBEFF45">
            <w:pPr>
              <w:spacing w:line="280" w:lineRule="exact"/>
              <w:rPr>
                <w:rFonts w:ascii="宋体" w:hAnsi="宋体" w:eastAsia="宋体"/>
                <w:szCs w:val="21"/>
              </w:rPr>
            </w:pPr>
            <w:r>
              <w:rPr>
                <w:rFonts w:hint="eastAsia" w:ascii="宋体" w:hAnsi="宋体" w:eastAsia="宋体"/>
                <w:szCs w:val="21"/>
              </w:rPr>
              <w:t>在关联人财务公司日最高存款余额</w:t>
            </w:r>
          </w:p>
        </w:tc>
        <w:tc>
          <w:tcPr>
            <w:tcW w:w="3397" w:type="dxa"/>
            <w:tcBorders>
              <w:top w:val="single" w:color="auto" w:sz="4" w:space="0"/>
              <w:left w:val="nil"/>
              <w:bottom w:val="single" w:color="auto" w:sz="4" w:space="0"/>
              <w:right w:val="single" w:color="auto" w:sz="4" w:space="0"/>
            </w:tcBorders>
            <w:vAlign w:val="center"/>
          </w:tcPr>
          <w:p w14:paraId="05E2106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淮北矿业集团财务有限公司</w:t>
            </w:r>
          </w:p>
        </w:tc>
        <w:tc>
          <w:tcPr>
            <w:tcW w:w="1599" w:type="dxa"/>
            <w:tcBorders>
              <w:top w:val="single" w:color="auto" w:sz="4" w:space="0"/>
              <w:left w:val="nil"/>
              <w:bottom w:val="single" w:color="auto" w:sz="4" w:space="0"/>
              <w:right w:val="single" w:color="auto" w:sz="4" w:space="0"/>
            </w:tcBorders>
            <w:vAlign w:val="center"/>
          </w:tcPr>
          <w:p w14:paraId="7ACBD7D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80,000.00</w:t>
            </w:r>
          </w:p>
        </w:tc>
        <w:tc>
          <w:tcPr>
            <w:tcW w:w="1520" w:type="dxa"/>
            <w:tcBorders>
              <w:top w:val="single" w:color="auto" w:sz="4" w:space="0"/>
              <w:left w:val="nil"/>
              <w:bottom w:val="single" w:color="auto" w:sz="4" w:space="0"/>
              <w:right w:val="single" w:color="auto" w:sz="4" w:space="0"/>
            </w:tcBorders>
            <w:vAlign w:val="center"/>
          </w:tcPr>
          <w:p w14:paraId="221FCF9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40,983.01</w:t>
            </w:r>
          </w:p>
        </w:tc>
        <w:tc>
          <w:tcPr>
            <w:tcW w:w="2214" w:type="dxa"/>
            <w:tcBorders>
              <w:top w:val="single" w:color="auto" w:sz="4" w:space="0"/>
              <w:left w:val="nil"/>
              <w:bottom w:val="single" w:color="auto" w:sz="4" w:space="0"/>
              <w:right w:val="double" w:color="auto" w:sz="2" w:space="0"/>
            </w:tcBorders>
            <w:vAlign w:val="center"/>
          </w:tcPr>
          <w:p w14:paraId="594B46E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预计2025年增加在财务公司存款 </w:t>
            </w:r>
          </w:p>
        </w:tc>
      </w:tr>
      <w:tr w14:paraId="6C6056D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12" w:type="dxa"/>
            <w:tcBorders>
              <w:top w:val="single" w:color="auto" w:sz="4" w:space="0"/>
              <w:left w:val="double" w:color="auto" w:sz="2" w:space="0"/>
              <w:bottom w:val="double" w:color="auto" w:sz="2" w:space="0"/>
              <w:right w:val="single" w:color="auto" w:sz="4" w:space="0"/>
            </w:tcBorders>
            <w:vAlign w:val="center"/>
          </w:tcPr>
          <w:p w14:paraId="4B17F5E8">
            <w:pPr>
              <w:spacing w:line="280" w:lineRule="exact"/>
              <w:rPr>
                <w:rFonts w:ascii="宋体" w:hAnsi="宋体" w:eastAsia="宋体"/>
                <w:szCs w:val="21"/>
              </w:rPr>
            </w:pPr>
            <w:r>
              <w:rPr>
                <w:rFonts w:hint="eastAsia" w:ascii="宋体" w:hAnsi="宋体" w:eastAsia="宋体"/>
                <w:szCs w:val="21"/>
              </w:rPr>
              <w:t>在关联人财务公司日最高贷款余额</w:t>
            </w:r>
          </w:p>
        </w:tc>
        <w:tc>
          <w:tcPr>
            <w:tcW w:w="3397" w:type="dxa"/>
            <w:tcBorders>
              <w:top w:val="single" w:color="auto" w:sz="4" w:space="0"/>
              <w:left w:val="nil"/>
              <w:bottom w:val="double" w:color="auto" w:sz="2" w:space="0"/>
              <w:right w:val="single" w:color="auto" w:sz="4" w:space="0"/>
            </w:tcBorders>
            <w:vAlign w:val="center"/>
          </w:tcPr>
          <w:p w14:paraId="67263B3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淮北矿业集团财务有限公司</w:t>
            </w:r>
          </w:p>
        </w:tc>
        <w:tc>
          <w:tcPr>
            <w:tcW w:w="1599" w:type="dxa"/>
            <w:tcBorders>
              <w:top w:val="single" w:color="auto" w:sz="4" w:space="0"/>
              <w:left w:val="nil"/>
              <w:bottom w:val="double" w:color="auto" w:sz="2" w:space="0"/>
              <w:right w:val="single" w:color="auto" w:sz="4" w:space="0"/>
            </w:tcBorders>
            <w:vAlign w:val="center"/>
          </w:tcPr>
          <w:p w14:paraId="33F1830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100,000.00</w:t>
            </w:r>
          </w:p>
        </w:tc>
        <w:tc>
          <w:tcPr>
            <w:tcW w:w="1520" w:type="dxa"/>
            <w:tcBorders>
              <w:top w:val="single" w:color="auto" w:sz="4" w:space="0"/>
              <w:left w:val="nil"/>
              <w:bottom w:val="double" w:color="auto" w:sz="2" w:space="0"/>
              <w:right w:val="single" w:color="auto" w:sz="4" w:space="0"/>
            </w:tcBorders>
            <w:vAlign w:val="center"/>
          </w:tcPr>
          <w:p w14:paraId="051F573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25,700.00</w:t>
            </w:r>
          </w:p>
        </w:tc>
        <w:tc>
          <w:tcPr>
            <w:tcW w:w="2214" w:type="dxa"/>
            <w:tcBorders>
              <w:top w:val="single" w:color="auto" w:sz="4" w:space="0"/>
              <w:left w:val="nil"/>
              <w:bottom w:val="double" w:color="auto" w:sz="2" w:space="0"/>
              <w:right w:val="double" w:color="auto" w:sz="2" w:space="0"/>
            </w:tcBorders>
            <w:vAlign w:val="center"/>
          </w:tcPr>
          <w:p w14:paraId="5592F21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预计2025年从财务公司借流贷 </w:t>
            </w:r>
          </w:p>
        </w:tc>
      </w:tr>
    </w:tbl>
    <w:p w14:paraId="7D566422">
      <w:pPr>
        <w:rPr>
          <w:rFonts w:ascii="宋体" w:hAnsi="宋体" w:eastAsia="宋体" w:cs="宋体"/>
          <w:kern w:val="0"/>
          <w:sz w:val="22"/>
          <w:szCs w:val="24"/>
          <w:lang w:bidi="ar"/>
        </w:rPr>
      </w:pPr>
      <w:r>
        <w:rPr>
          <w:rFonts w:hint="eastAsia" w:ascii="宋体" w:hAnsi="宋体" w:eastAsia="宋体" w:cs="宋体"/>
          <w:kern w:val="0"/>
          <w:sz w:val="22"/>
          <w:szCs w:val="24"/>
          <w:lang w:bidi="ar"/>
        </w:rPr>
        <w:t>注1：公司董事马超自2024年6月起不再担任安徽省安庆市曙光化工股份有限公司董事，故自2025年7月起与安徽省安庆市曙光化工股份有限公司的交易和往来将不再作为关联交易和往来核算</w:t>
      </w:r>
    </w:p>
    <w:p w14:paraId="055DE7E5">
      <w:pPr>
        <w:spacing w:before="312" w:beforeLines="100"/>
        <w:rPr>
          <w:rFonts w:ascii="宋体" w:hAnsi="宋体" w:eastAsia="宋体"/>
          <w:b/>
          <w:sz w:val="24"/>
          <w:szCs w:val="24"/>
        </w:rPr>
      </w:pPr>
      <w:r>
        <w:rPr>
          <w:rFonts w:hint="eastAsia" w:ascii="宋体" w:hAnsi="宋体" w:eastAsia="宋体"/>
          <w:b/>
          <w:sz w:val="24"/>
          <w:szCs w:val="24"/>
        </w:rPr>
        <w:t>三、关联方介绍和关联关系</w:t>
      </w:r>
    </w:p>
    <w:p w14:paraId="359F9D0B">
      <w:pPr>
        <w:spacing w:line="440" w:lineRule="exact"/>
        <w:ind w:firstLine="482" w:firstLineChars="200"/>
        <w:rPr>
          <w:rFonts w:ascii="宋体" w:hAnsi="宋体" w:eastAsia="宋体"/>
          <w:b/>
          <w:sz w:val="24"/>
          <w:szCs w:val="24"/>
        </w:rPr>
      </w:pPr>
      <w:r>
        <w:rPr>
          <w:rFonts w:hint="eastAsia" w:ascii="宋体" w:hAnsi="宋体" w:eastAsia="宋体"/>
          <w:b/>
          <w:sz w:val="24"/>
          <w:szCs w:val="24"/>
        </w:rPr>
        <w:t>（一）主要关联方介绍及关联关系</w:t>
      </w:r>
    </w:p>
    <w:tbl>
      <w:tblPr>
        <w:tblStyle w:val="13"/>
        <w:tblW w:w="5819" w:type="pct"/>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226"/>
        <w:gridCol w:w="1517"/>
        <w:gridCol w:w="916"/>
        <w:gridCol w:w="1118"/>
        <w:gridCol w:w="1196"/>
        <w:gridCol w:w="2275"/>
        <w:gridCol w:w="1177"/>
      </w:tblGrid>
      <w:tr w14:paraId="07E61F8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double" w:color="auto" w:sz="2" w:space="0"/>
              <w:left w:val="double" w:color="auto" w:sz="2" w:space="0"/>
              <w:bottom w:val="single" w:color="auto" w:sz="4" w:space="0"/>
              <w:right w:val="single" w:color="auto" w:sz="4" w:space="0"/>
            </w:tcBorders>
            <w:vAlign w:val="center"/>
          </w:tcPr>
          <w:p w14:paraId="3228FF43">
            <w:pPr>
              <w:spacing w:line="240" w:lineRule="exact"/>
              <w:jc w:val="center"/>
              <w:rPr>
                <w:rFonts w:ascii="宋体" w:hAnsi="宋体" w:eastAsia="宋体"/>
                <w:b/>
                <w:szCs w:val="21"/>
              </w:rPr>
            </w:pPr>
            <w:r>
              <w:rPr>
                <w:rFonts w:hint="eastAsia" w:ascii="宋体" w:hAnsi="宋体" w:eastAsia="宋体"/>
                <w:b/>
                <w:szCs w:val="21"/>
              </w:rPr>
              <w:t>序号</w:t>
            </w:r>
          </w:p>
        </w:tc>
        <w:tc>
          <w:tcPr>
            <w:tcW w:w="2037" w:type="dxa"/>
            <w:tcBorders>
              <w:top w:val="double" w:color="auto" w:sz="2" w:space="0"/>
              <w:left w:val="nil"/>
              <w:bottom w:val="single" w:color="auto" w:sz="4" w:space="0"/>
              <w:right w:val="single" w:color="auto" w:sz="4" w:space="0"/>
            </w:tcBorders>
            <w:vAlign w:val="center"/>
          </w:tcPr>
          <w:p w14:paraId="2C77C152">
            <w:pPr>
              <w:spacing w:line="240" w:lineRule="exact"/>
              <w:jc w:val="center"/>
              <w:rPr>
                <w:rFonts w:ascii="宋体" w:hAnsi="宋体" w:eastAsia="宋体"/>
                <w:b/>
                <w:szCs w:val="21"/>
              </w:rPr>
            </w:pPr>
            <w:r>
              <w:rPr>
                <w:rFonts w:hint="eastAsia" w:ascii="宋体" w:hAnsi="宋体" w:eastAsia="宋体"/>
                <w:b/>
                <w:szCs w:val="21"/>
              </w:rPr>
              <w:t>关联方名称</w:t>
            </w:r>
          </w:p>
        </w:tc>
        <w:tc>
          <w:tcPr>
            <w:tcW w:w="2571" w:type="dxa"/>
            <w:tcBorders>
              <w:top w:val="double" w:color="auto" w:sz="2" w:space="0"/>
              <w:left w:val="nil"/>
              <w:bottom w:val="single" w:color="auto" w:sz="4" w:space="0"/>
              <w:right w:val="single" w:color="auto" w:sz="4" w:space="0"/>
            </w:tcBorders>
            <w:vAlign w:val="center"/>
          </w:tcPr>
          <w:p w14:paraId="2D4AD263">
            <w:pPr>
              <w:spacing w:line="240" w:lineRule="exact"/>
              <w:jc w:val="center"/>
              <w:rPr>
                <w:rFonts w:ascii="宋体" w:hAnsi="宋体" w:eastAsia="宋体"/>
                <w:b/>
                <w:szCs w:val="21"/>
              </w:rPr>
            </w:pPr>
            <w:r>
              <w:rPr>
                <w:rFonts w:hint="eastAsia" w:ascii="宋体" w:hAnsi="宋体" w:eastAsia="宋体"/>
                <w:b/>
                <w:szCs w:val="21"/>
              </w:rPr>
              <w:t>公司类型</w:t>
            </w:r>
          </w:p>
        </w:tc>
        <w:tc>
          <w:tcPr>
            <w:tcW w:w="1469" w:type="dxa"/>
            <w:tcBorders>
              <w:top w:val="double" w:color="auto" w:sz="2" w:space="0"/>
              <w:left w:val="nil"/>
              <w:bottom w:val="single" w:color="auto" w:sz="4" w:space="0"/>
              <w:right w:val="single" w:color="auto" w:sz="4" w:space="0"/>
            </w:tcBorders>
            <w:vAlign w:val="center"/>
          </w:tcPr>
          <w:p w14:paraId="0EA63D52">
            <w:pPr>
              <w:spacing w:line="240" w:lineRule="exact"/>
              <w:jc w:val="center"/>
              <w:rPr>
                <w:rFonts w:ascii="宋体" w:hAnsi="宋体" w:eastAsia="宋体"/>
                <w:b/>
                <w:szCs w:val="21"/>
              </w:rPr>
            </w:pPr>
            <w:r>
              <w:rPr>
                <w:rFonts w:hint="eastAsia" w:ascii="宋体" w:hAnsi="宋体" w:eastAsia="宋体"/>
                <w:b/>
                <w:szCs w:val="21"/>
              </w:rPr>
              <w:t>法定代表人</w:t>
            </w:r>
          </w:p>
        </w:tc>
        <w:tc>
          <w:tcPr>
            <w:tcW w:w="1841" w:type="dxa"/>
            <w:tcBorders>
              <w:top w:val="double" w:color="auto" w:sz="2" w:space="0"/>
              <w:left w:val="nil"/>
              <w:bottom w:val="single" w:color="auto" w:sz="4" w:space="0"/>
              <w:right w:val="single" w:color="auto" w:sz="4" w:space="0"/>
            </w:tcBorders>
            <w:vAlign w:val="center"/>
          </w:tcPr>
          <w:p w14:paraId="4FBB8900">
            <w:pPr>
              <w:spacing w:line="240" w:lineRule="exact"/>
              <w:jc w:val="center"/>
              <w:rPr>
                <w:rFonts w:ascii="宋体" w:hAnsi="宋体" w:eastAsia="宋体"/>
                <w:b/>
                <w:szCs w:val="21"/>
              </w:rPr>
            </w:pPr>
            <w:r>
              <w:rPr>
                <w:rFonts w:hint="eastAsia" w:ascii="宋体" w:hAnsi="宋体" w:eastAsia="宋体"/>
                <w:b/>
                <w:szCs w:val="21"/>
              </w:rPr>
              <w:t>注册资本</w:t>
            </w:r>
          </w:p>
          <w:p w14:paraId="5C9879D0">
            <w:pPr>
              <w:spacing w:line="240" w:lineRule="exact"/>
              <w:jc w:val="center"/>
              <w:rPr>
                <w:rFonts w:ascii="宋体" w:hAnsi="宋体" w:eastAsia="宋体"/>
                <w:b/>
                <w:szCs w:val="21"/>
              </w:rPr>
            </w:pPr>
            <w:r>
              <w:rPr>
                <w:rFonts w:hint="eastAsia" w:ascii="宋体" w:hAnsi="宋体" w:eastAsia="宋体"/>
                <w:b/>
                <w:szCs w:val="21"/>
              </w:rPr>
              <w:t>（万元）</w:t>
            </w:r>
          </w:p>
        </w:tc>
        <w:tc>
          <w:tcPr>
            <w:tcW w:w="1981" w:type="dxa"/>
            <w:tcBorders>
              <w:top w:val="double" w:color="auto" w:sz="2" w:space="0"/>
              <w:left w:val="nil"/>
              <w:bottom w:val="single" w:color="auto" w:sz="4" w:space="0"/>
              <w:right w:val="single" w:color="auto" w:sz="4" w:space="0"/>
            </w:tcBorders>
            <w:vAlign w:val="center"/>
          </w:tcPr>
          <w:p w14:paraId="644A1246">
            <w:pPr>
              <w:spacing w:line="240" w:lineRule="exact"/>
              <w:jc w:val="center"/>
              <w:rPr>
                <w:rFonts w:ascii="宋体" w:hAnsi="宋体" w:eastAsia="宋体"/>
                <w:b/>
                <w:szCs w:val="21"/>
              </w:rPr>
            </w:pPr>
            <w:r>
              <w:rPr>
                <w:rFonts w:hint="eastAsia" w:ascii="宋体" w:hAnsi="宋体" w:eastAsia="宋体"/>
                <w:b/>
                <w:szCs w:val="21"/>
              </w:rPr>
              <w:t>住所</w:t>
            </w:r>
          </w:p>
        </w:tc>
        <w:tc>
          <w:tcPr>
            <w:tcW w:w="3959" w:type="dxa"/>
            <w:tcBorders>
              <w:top w:val="double" w:color="auto" w:sz="2" w:space="0"/>
              <w:left w:val="nil"/>
              <w:bottom w:val="single" w:color="auto" w:sz="4" w:space="0"/>
              <w:right w:val="single" w:color="auto" w:sz="4" w:space="0"/>
            </w:tcBorders>
            <w:vAlign w:val="center"/>
          </w:tcPr>
          <w:p w14:paraId="4D476B9D">
            <w:pPr>
              <w:spacing w:line="240" w:lineRule="exact"/>
              <w:ind w:firstLine="360"/>
              <w:jc w:val="center"/>
              <w:rPr>
                <w:rFonts w:ascii="宋体" w:hAnsi="宋体" w:eastAsia="宋体"/>
                <w:b/>
                <w:szCs w:val="21"/>
              </w:rPr>
            </w:pPr>
            <w:r>
              <w:rPr>
                <w:rFonts w:hint="eastAsia" w:ascii="宋体" w:hAnsi="宋体" w:eastAsia="宋体"/>
                <w:b/>
                <w:szCs w:val="21"/>
              </w:rPr>
              <w:t>主营业务</w:t>
            </w:r>
          </w:p>
        </w:tc>
        <w:tc>
          <w:tcPr>
            <w:tcW w:w="1947" w:type="dxa"/>
            <w:tcBorders>
              <w:top w:val="double" w:color="auto" w:sz="2" w:space="0"/>
              <w:left w:val="nil"/>
              <w:bottom w:val="single" w:color="auto" w:sz="4" w:space="0"/>
              <w:right w:val="double" w:color="auto" w:sz="2" w:space="0"/>
            </w:tcBorders>
            <w:vAlign w:val="center"/>
          </w:tcPr>
          <w:p w14:paraId="573702E7">
            <w:pPr>
              <w:spacing w:line="240" w:lineRule="exact"/>
              <w:jc w:val="center"/>
              <w:rPr>
                <w:rFonts w:ascii="宋体" w:hAnsi="宋体" w:eastAsia="宋体"/>
                <w:b/>
                <w:szCs w:val="21"/>
              </w:rPr>
            </w:pPr>
            <w:r>
              <w:rPr>
                <w:rFonts w:hint="eastAsia" w:ascii="宋体" w:hAnsi="宋体" w:eastAsia="宋体"/>
                <w:b/>
                <w:szCs w:val="21"/>
              </w:rPr>
              <w:t>与公司的关联关系</w:t>
            </w:r>
          </w:p>
        </w:tc>
      </w:tr>
      <w:tr w14:paraId="0F8279C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double" w:color="auto" w:sz="2" w:space="0"/>
              <w:bottom w:val="single" w:color="auto" w:sz="4" w:space="0"/>
              <w:right w:val="single" w:color="auto" w:sz="4" w:space="0"/>
            </w:tcBorders>
            <w:vAlign w:val="center"/>
          </w:tcPr>
          <w:p w14:paraId="511A223C">
            <w:pPr>
              <w:spacing w:line="240" w:lineRule="exact"/>
              <w:jc w:val="center"/>
              <w:rPr>
                <w:rFonts w:ascii="宋体" w:hAnsi="宋体" w:eastAsia="宋体"/>
                <w:szCs w:val="21"/>
              </w:rPr>
            </w:pPr>
            <w:r>
              <w:rPr>
                <w:rFonts w:hint="eastAsia" w:ascii="宋体" w:hAnsi="宋体" w:eastAsia="宋体"/>
                <w:szCs w:val="21"/>
              </w:rPr>
              <w:t>1</w:t>
            </w:r>
          </w:p>
        </w:tc>
        <w:tc>
          <w:tcPr>
            <w:tcW w:w="2037" w:type="dxa"/>
            <w:tcBorders>
              <w:top w:val="single" w:color="auto" w:sz="4" w:space="0"/>
              <w:left w:val="nil"/>
              <w:bottom w:val="single" w:color="auto" w:sz="4" w:space="0"/>
              <w:right w:val="single" w:color="auto" w:sz="4" w:space="0"/>
            </w:tcBorders>
            <w:vAlign w:val="center"/>
          </w:tcPr>
          <w:p w14:paraId="2C4466EC">
            <w:pPr>
              <w:spacing w:line="240" w:lineRule="exact"/>
              <w:jc w:val="left"/>
              <w:rPr>
                <w:rFonts w:ascii="宋体" w:hAnsi="宋体" w:eastAsia="宋体"/>
                <w:szCs w:val="21"/>
              </w:rPr>
            </w:pPr>
            <w:r>
              <w:rPr>
                <w:rFonts w:hint="eastAsia" w:ascii="宋体" w:hAnsi="宋体" w:eastAsia="宋体"/>
                <w:szCs w:val="21"/>
              </w:rPr>
              <w:t>淮北矿业（集团）有限责任公司</w:t>
            </w:r>
          </w:p>
        </w:tc>
        <w:tc>
          <w:tcPr>
            <w:tcW w:w="2571" w:type="dxa"/>
            <w:tcBorders>
              <w:top w:val="single" w:color="auto" w:sz="4" w:space="0"/>
              <w:left w:val="nil"/>
              <w:bottom w:val="single" w:color="auto" w:sz="4" w:space="0"/>
              <w:right w:val="single" w:color="auto" w:sz="4" w:space="0"/>
            </w:tcBorders>
            <w:vAlign w:val="center"/>
          </w:tcPr>
          <w:p w14:paraId="390DD8D8">
            <w:pPr>
              <w:spacing w:line="240" w:lineRule="exact"/>
              <w:jc w:val="left"/>
              <w:rPr>
                <w:rFonts w:ascii="宋体" w:hAnsi="宋体" w:eastAsia="宋体"/>
                <w:szCs w:val="21"/>
              </w:rPr>
            </w:pPr>
            <w:r>
              <w:rPr>
                <w:rFonts w:hint="eastAsia" w:ascii="宋体" w:hAnsi="宋体" w:eastAsia="宋体"/>
                <w:szCs w:val="21"/>
              </w:rPr>
              <w:t>有限责任公司(国有控股)</w:t>
            </w:r>
          </w:p>
        </w:tc>
        <w:tc>
          <w:tcPr>
            <w:tcW w:w="1469" w:type="dxa"/>
            <w:tcBorders>
              <w:top w:val="single" w:color="auto" w:sz="4" w:space="0"/>
              <w:left w:val="nil"/>
              <w:bottom w:val="single" w:color="auto" w:sz="4" w:space="0"/>
              <w:right w:val="single" w:color="auto" w:sz="4" w:space="0"/>
            </w:tcBorders>
            <w:vAlign w:val="center"/>
          </w:tcPr>
          <w:p w14:paraId="6C1A11F6">
            <w:pPr>
              <w:spacing w:line="240" w:lineRule="exact"/>
              <w:jc w:val="center"/>
              <w:rPr>
                <w:rFonts w:ascii="宋体" w:hAnsi="宋体" w:eastAsia="宋体"/>
                <w:szCs w:val="21"/>
              </w:rPr>
            </w:pPr>
            <w:r>
              <w:rPr>
                <w:rFonts w:hint="eastAsia" w:ascii="宋体" w:hAnsi="宋体" w:eastAsia="宋体"/>
                <w:szCs w:val="21"/>
              </w:rPr>
              <w:t>方良才</w:t>
            </w:r>
          </w:p>
        </w:tc>
        <w:tc>
          <w:tcPr>
            <w:tcW w:w="1841" w:type="dxa"/>
            <w:tcBorders>
              <w:top w:val="single" w:color="auto" w:sz="4" w:space="0"/>
              <w:left w:val="nil"/>
              <w:bottom w:val="single" w:color="auto" w:sz="4" w:space="0"/>
              <w:right w:val="single" w:color="auto" w:sz="4" w:space="0"/>
            </w:tcBorders>
            <w:vAlign w:val="center"/>
          </w:tcPr>
          <w:p w14:paraId="6A6AC5DF">
            <w:pPr>
              <w:spacing w:line="240" w:lineRule="exact"/>
              <w:jc w:val="right"/>
              <w:rPr>
                <w:rFonts w:ascii="宋体" w:hAnsi="宋体" w:eastAsia="宋体"/>
                <w:szCs w:val="21"/>
                <w:shd w:val="clear" w:color="auto" w:fill="FFFFFF"/>
              </w:rPr>
            </w:pPr>
            <w:r>
              <w:rPr>
                <w:rFonts w:hint="eastAsia" w:ascii="宋体" w:hAnsi="宋体" w:eastAsia="宋体"/>
                <w:szCs w:val="21"/>
                <w:shd w:val="clear" w:color="auto" w:fill="FFFFFF"/>
              </w:rPr>
              <w:t>478,401.3847</w:t>
            </w:r>
          </w:p>
        </w:tc>
        <w:tc>
          <w:tcPr>
            <w:tcW w:w="1981" w:type="dxa"/>
            <w:tcBorders>
              <w:top w:val="single" w:color="auto" w:sz="4" w:space="0"/>
              <w:left w:val="nil"/>
              <w:bottom w:val="single" w:color="auto" w:sz="4" w:space="0"/>
              <w:right w:val="single" w:color="auto" w:sz="4" w:space="0"/>
            </w:tcBorders>
            <w:vAlign w:val="center"/>
          </w:tcPr>
          <w:p w14:paraId="70D825A6">
            <w:pPr>
              <w:spacing w:line="240" w:lineRule="exact"/>
              <w:jc w:val="left"/>
              <w:rPr>
                <w:rFonts w:ascii="宋体" w:hAnsi="宋体" w:eastAsia="宋体"/>
                <w:szCs w:val="21"/>
              </w:rPr>
            </w:pPr>
            <w:r>
              <w:rPr>
                <w:rFonts w:hint="eastAsia" w:ascii="宋体" w:hAnsi="宋体" w:eastAsia="宋体"/>
                <w:szCs w:val="21"/>
              </w:rPr>
              <w:t>安徽省淮北市人民中路276号</w:t>
            </w:r>
          </w:p>
        </w:tc>
        <w:tc>
          <w:tcPr>
            <w:tcW w:w="3959" w:type="dxa"/>
            <w:tcBorders>
              <w:top w:val="single" w:color="auto" w:sz="4" w:space="0"/>
              <w:left w:val="nil"/>
              <w:bottom w:val="single" w:color="auto" w:sz="4" w:space="0"/>
              <w:right w:val="single" w:color="auto" w:sz="4" w:space="0"/>
            </w:tcBorders>
            <w:vAlign w:val="center"/>
          </w:tcPr>
          <w:p w14:paraId="6C3D345A">
            <w:pPr>
              <w:spacing w:line="240" w:lineRule="exact"/>
              <w:jc w:val="left"/>
              <w:rPr>
                <w:rFonts w:ascii="宋体" w:hAnsi="宋体" w:eastAsia="宋体"/>
                <w:szCs w:val="21"/>
              </w:rPr>
            </w:pPr>
            <w:r>
              <w:rPr>
                <w:rFonts w:hint="eastAsia" w:ascii="宋体" w:hAnsi="宋体" w:eastAsia="宋体"/>
                <w:szCs w:val="21"/>
              </w:rPr>
              <w:t>煤炭产品、洗选加工、焦炭、高岭土、煤层气开发、电力、矿建、化工产品、建材等生产与销售等。</w:t>
            </w:r>
          </w:p>
        </w:tc>
        <w:tc>
          <w:tcPr>
            <w:tcW w:w="1947" w:type="dxa"/>
            <w:tcBorders>
              <w:top w:val="single" w:color="auto" w:sz="4" w:space="0"/>
              <w:left w:val="nil"/>
              <w:bottom w:val="single" w:color="auto" w:sz="4" w:space="0"/>
              <w:right w:val="double" w:color="auto" w:sz="2" w:space="0"/>
            </w:tcBorders>
            <w:vAlign w:val="center"/>
          </w:tcPr>
          <w:p w14:paraId="55E887B0">
            <w:pPr>
              <w:spacing w:line="240" w:lineRule="exact"/>
              <w:jc w:val="left"/>
              <w:rPr>
                <w:rFonts w:ascii="宋体" w:hAnsi="宋体" w:eastAsia="宋体"/>
                <w:szCs w:val="21"/>
              </w:rPr>
            </w:pPr>
            <w:r>
              <w:rPr>
                <w:rFonts w:hint="eastAsia" w:ascii="宋体" w:hAnsi="宋体" w:eastAsia="宋体"/>
                <w:szCs w:val="21"/>
              </w:rPr>
              <w:t>母公司</w:t>
            </w:r>
          </w:p>
        </w:tc>
      </w:tr>
      <w:tr w14:paraId="550F6AF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double" w:color="auto" w:sz="2" w:space="0"/>
              <w:bottom w:val="single" w:color="auto" w:sz="4" w:space="0"/>
              <w:right w:val="single" w:color="auto" w:sz="4" w:space="0"/>
            </w:tcBorders>
            <w:vAlign w:val="center"/>
          </w:tcPr>
          <w:p w14:paraId="769F193A">
            <w:pPr>
              <w:spacing w:line="240" w:lineRule="exact"/>
              <w:jc w:val="center"/>
              <w:rPr>
                <w:rFonts w:ascii="宋体" w:hAnsi="宋体" w:eastAsia="宋体"/>
                <w:szCs w:val="21"/>
              </w:rPr>
            </w:pPr>
            <w:r>
              <w:rPr>
                <w:rFonts w:hint="eastAsia" w:ascii="宋体" w:hAnsi="宋体" w:eastAsia="宋体"/>
                <w:szCs w:val="21"/>
              </w:rPr>
              <w:t>2</w:t>
            </w:r>
          </w:p>
        </w:tc>
        <w:tc>
          <w:tcPr>
            <w:tcW w:w="2037" w:type="dxa"/>
            <w:tcBorders>
              <w:top w:val="single" w:color="auto" w:sz="4" w:space="0"/>
              <w:left w:val="nil"/>
              <w:bottom w:val="single" w:color="auto" w:sz="4" w:space="0"/>
              <w:right w:val="single" w:color="auto" w:sz="4" w:space="0"/>
            </w:tcBorders>
            <w:vAlign w:val="center"/>
          </w:tcPr>
          <w:p w14:paraId="6E050557">
            <w:pPr>
              <w:spacing w:line="240" w:lineRule="exact"/>
              <w:jc w:val="left"/>
              <w:rPr>
                <w:rFonts w:ascii="宋体" w:hAnsi="宋体" w:eastAsia="宋体"/>
                <w:szCs w:val="21"/>
              </w:rPr>
            </w:pPr>
            <w:r>
              <w:rPr>
                <w:rFonts w:hint="eastAsia" w:ascii="宋体" w:hAnsi="宋体" w:eastAsia="宋体"/>
                <w:szCs w:val="21"/>
              </w:rPr>
              <w:t>临涣焦化股份有限公司</w:t>
            </w:r>
          </w:p>
        </w:tc>
        <w:tc>
          <w:tcPr>
            <w:tcW w:w="2571" w:type="dxa"/>
            <w:tcBorders>
              <w:top w:val="single" w:color="auto" w:sz="4" w:space="0"/>
              <w:left w:val="nil"/>
              <w:bottom w:val="single" w:color="auto" w:sz="4" w:space="0"/>
              <w:right w:val="single" w:color="auto" w:sz="4" w:space="0"/>
            </w:tcBorders>
            <w:vAlign w:val="center"/>
          </w:tcPr>
          <w:p w14:paraId="0483DCB7">
            <w:pPr>
              <w:spacing w:line="240" w:lineRule="exact"/>
              <w:jc w:val="left"/>
              <w:rPr>
                <w:rFonts w:ascii="宋体" w:hAnsi="宋体" w:eastAsia="宋体"/>
                <w:szCs w:val="21"/>
              </w:rPr>
            </w:pPr>
            <w:r>
              <w:rPr>
                <w:rFonts w:hint="eastAsia" w:ascii="宋体" w:hAnsi="宋体" w:eastAsia="宋体"/>
                <w:szCs w:val="21"/>
              </w:rPr>
              <w:t>股份有限公司(非上市、外商投资企业投资)</w:t>
            </w:r>
          </w:p>
        </w:tc>
        <w:tc>
          <w:tcPr>
            <w:tcW w:w="1469" w:type="dxa"/>
            <w:tcBorders>
              <w:top w:val="single" w:color="auto" w:sz="4" w:space="0"/>
              <w:left w:val="nil"/>
              <w:bottom w:val="single" w:color="auto" w:sz="4" w:space="0"/>
              <w:right w:val="single" w:color="auto" w:sz="4" w:space="0"/>
            </w:tcBorders>
            <w:vAlign w:val="center"/>
          </w:tcPr>
          <w:p w14:paraId="6750D984">
            <w:pPr>
              <w:spacing w:line="240" w:lineRule="exact"/>
              <w:jc w:val="center"/>
              <w:rPr>
                <w:rFonts w:ascii="宋体" w:hAnsi="宋体" w:eastAsia="宋体"/>
                <w:szCs w:val="21"/>
              </w:rPr>
            </w:pPr>
            <w:r>
              <w:rPr>
                <w:rFonts w:hint="eastAsia" w:ascii="宋体" w:hAnsi="宋体" w:eastAsia="宋体"/>
                <w:szCs w:val="21"/>
              </w:rPr>
              <w:t>李治国</w:t>
            </w:r>
          </w:p>
        </w:tc>
        <w:tc>
          <w:tcPr>
            <w:tcW w:w="1841" w:type="dxa"/>
            <w:tcBorders>
              <w:top w:val="single" w:color="auto" w:sz="4" w:space="0"/>
              <w:left w:val="nil"/>
              <w:bottom w:val="single" w:color="auto" w:sz="4" w:space="0"/>
              <w:right w:val="single" w:color="auto" w:sz="4" w:space="0"/>
            </w:tcBorders>
            <w:vAlign w:val="center"/>
          </w:tcPr>
          <w:p w14:paraId="5D93E7CC">
            <w:pPr>
              <w:spacing w:line="240" w:lineRule="exact"/>
              <w:jc w:val="right"/>
              <w:rPr>
                <w:rFonts w:ascii="宋体" w:hAnsi="宋体" w:eastAsia="宋体"/>
                <w:szCs w:val="21"/>
                <w:shd w:val="clear" w:color="auto" w:fill="FFFFFF"/>
              </w:rPr>
            </w:pPr>
            <w:r>
              <w:rPr>
                <w:rFonts w:hint="eastAsia" w:ascii="宋体" w:hAnsi="宋体" w:eastAsia="宋体"/>
                <w:szCs w:val="21"/>
                <w:shd w:val="clear" w:color="auto" w:fill="FFFFFF"/>
              </w:rPr>
              <w:t>109,081.6936</w:t>
            </w:r>
          </w:p>
        </w:tc>
        <w:tc>
          <w:tcPr>
            <w:tcW w:w="1981" w:type="dxa"/>
            <w:tcBorders>
              <w:top w:val="single" w:color="auto" w:sz="4" w:space="0"/>
              <w:left w:val="nil"/>
              <w:bottom w:val="single" w:color="auto" w:sz="4" w:space="0"/>
              <w:right w:val="single" w:color="auto" w:sz="4" w:space="0"/>
            </w:tcBorders>
            <w:vAlign w:val="center"/>
          </w:tcPr>
          <w:p w14:paraId="12223AFE">
            <w:pPr>
              <w:spacing w:line="240" w:lineRule="exact"/>
              <w:jc w:val="left"/>
              <w:rPr>
                <w:rFonts w:ascii="宋体" w:hAnsi="宋体" w:eastAsia="宋体"/>
                <w:szCs w:val="21"/>
              </w:rPr>
            </w:pPr>
            <w:r>
              <w:rPr>
                <w:rFonts w:hint="eastAsia" w:ascii="宋体" w:hAnsi="宋体" w:eastAsia="宋体"/>
                <w:szCs w:val="21"/>
              </w:rPr>
              <w:t>安徽省濉溪县韩村镇小湖孜</w:t>
            </w:r>
          </w:p>
        </w:tc>
        <w:tc>
          <w:tcPr>
            <w:tcW w:w="3959" w:type="dxa"/>
            <w:tcBorders>
              <w:top w:val="single" w:color="auto" w:sz="4" w:space="0"/>
              <w:left w:val="nil"/>
              <w:bottom w:val="single" w:color="auto" w:sz="4" w:space="0"/>
              <w:right w:val="single" w:color="auto" w:sz="4" w:space="0"/>
            </w:tcBorders>
            <w:vAlign w:val="center"/>
          </w:tcPr>
          <w:p w14:paraId="775AAF4A">
            <w:pPr>
              <w:spacing w:line="240" w:lineRule="exact"/>
              <w:jc w:val="left"/>
              <w:rPr>
                <w:rFonts w:ascii="宋体" w:hAnsi="宋体" w:eastAsia="宋体"/>
                <w:szCs w:val="21"/>
              </w:rPr>
            </w:pPr>
            <w:r>
              <w:rPr>
                <w:rFonts w:hint="eastAsia" w:ascii="宋体" w:hAnsi="宋体" w:eastAsia="宋体"/>
                <w:szCs w:val="21"/>
              </w:rPr>
              <w:t>焦炭、化工产品生产、销售和相关产品的开发，销售煤炭、金属材料及制品、铁矿石、化肥、机械电子设备及配件</w:t>
            </w:r>
          </w:p>
        </w:tc>
        <w:tc>
          <w:tcPr>
            <w:tcW w:w="1947" w:type="dxa"/>
            <w:tcBorders>
              <w:top w:val="single" w:color="auto" w:sz="4" w:space="0"/>
              <w:left w:val="nil"/>
              <w:bottom w:val="single" w:color="auto" w:sz="4" w:space="0"/>
              <w:right w:val="double" w:color="auto" w:sz="2" w:space="0"/>
            </w:tcBorders>
            <w:vAlign w:val="center"/>
          </w:tcPr>
          <w:p w14:paraId="0792C9CF">
            <w:pPr>
              <w:spacing w:line="240" w:lineRule="exact"/>
              <w:jc w:val="left"/>
              <w:rPr>
                <w:rFonts w:ascii="宋体" w:hAnsi="宋体" w:eastAsia="宋体"/>
                <w:szCs w:val="21"/>
              </w:rPr>
            </w:pPr>
            <w:r>
              <w:rPr>
                <w:rFonts w:hint="eastAsia" w:ascii="宋体" w:hAnsi="宋体" w:eastAsia="宋体"/>
                <w:szCs w:val="21"/>
              </w:rPr>
              <w:t>同受母公司控制</w:t>
            </w:r>
          </w:p>
        </w:tc>
      </w:tr>
      <w:tr w14:paraId="16364E6F">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double" w:color="auto" w:sz="2" w:space="0"/>
              <w:bottom w:val="single" w:color="auto" w:sz="4" w:space="0"/>
              <w:right w:val="single" w:color="auto" w:sz="4" w:space="0"/>
            </w:tcBorders>
            <w:vAlign w:val="center"/>
          </w:tcPr>
          <w:p w14:paraId="064B3698">
            <w:pPr>
              <w:spacing w:line="240" w:lineRule="exact"/>
              <w:jc w:val="center"/>
              <w:rPr>
                <w:rFonts w:ascii="宋体" w:hAnsi="宋体" w:eastAsia="宋体"/>
                <w:szCs w:val="21"/>
              </w:rPr>
            </w:pPr>
            <w:r>
              <w:rPr>
                <w:rFonts w:hint="eastAsia" w:ascii="宋体" w:hAnsi="宋体" w:eastAsia="宋体"/>
                <w:szCs w:val="21"/>
              </w:rPr>
              <w:t>3</w:t>
            </w:r>
          </w:p>
        </w:tc>
        <w:tc>
          <w:tcPr>
            <w:tcW w:w="2037" w:type="dxa"/>
            <w:tcBorders>
              <w:top w:val="single" w:color="auto" w:sz="4" w:space="0"/>
              <w:left w:val="nil"/>
              <w:bottom w:val="single" w:color="auto" w:sz="4" w:space="0"/>
              <w:right w:val="single" w:color="auto" w:sz="4" w:space="0"/>
            </w:tcBorders>
            <w:vAlign w:val="center"/>
          </w:tcPr>
          <w:p w14:paraId="62DE2978">
            <w:pPr>
              <w:spacing w:line="240" w:lineRule="exact"/>
              <w:jc w:val="left"/>
              <w:rPr>
                <w:rFonts w:ascii="宋体" w:hAnsi="宋体" w:eastAsia="宋体"/>
                <w:szCs w:val="21"/>
              </w:rPr>
            </w:pPr>
            <w:r>
              <w:rPr>
                <w:rFonts w:hint="eastAsia" w:ascii="宋体" w:hAnsi="宋体" w:eastAsia="宋体"/>
                <w:szCs w:val="21"/>
              </w:rPr>
              <w:t>安徽雷鸣爆破工程有限责任公司</w:t>
            </w:r>
          </w:p>
        </w:tc>
        <w:tc>
          <w:tcPr>
            <w:tcW w:w="2571" w:type="dxa"/>
            <w:tcBorders>
              <w:top w:val="single" w:color="auto" w:sz="4" w:space="0"/>
              <w:left w:val="nil"/>
              <w:bottom w:val="single" w:color="auto" w:sz="4" w:space="0"/>
              <w:right w:val="single" w:color="auto" w:sz="4" w:space="0"/>
            </w:tcBorders>
            <w:vAlign w:val="center"/>
          </w:tcPr>
          <w:p w14:paraId="5D8F90C6">
            <w:pPr>
              <w:spacing w:line="240" w:lineRule="exact"/>
              <w:jc w:val="left"/>
              <w:rPr>
                <w:rFonts w:ascii="宋体" w:hAnsi="宋体" w:eastAsia="宋体"/>
                <w:szCs w:val="21"/>
              </w:rPr>
            </w:pPr>
            <w:r>
              <w:rPr>
                <w:rFonts w:hint="eastAsia" w:ascii="宋体" w:hAnsi="宋体" w:eastAsia="宋体"/>
                <w:szCs w:val="21"/>
              </w:rPr>
              <w:t>有限责任公司(国有控股)</w:t>
            </w:r>
          </w:p>
        </w:tc>
        <w:tc>
          <w:tcPr>
            <w:tcW w:w="1469" w:type="dxa"/>
            <w:tcBorders>
              <w:top w:val="single" w:color="auto" w:sz="4" w:space="0"/>
              <w:left w:val="nil"/>
              <w:bottom w:val="single" w:color="auto" w:sz="4" w:space="0"/>
              <w:right w:val="single" w:color="auto" w:sz="4" w:space="0"/>
            </w:tcBorders>
            <w:vAlign w:val="center"/>
          </w:tcPr>
          <w:p w14:paraId="034B8E75">
            <w:pPr>
              <w:spacing w:line="240" w:lineRule="exact"/>
              <w:jc w:val="center"/>
              <w:rPr>
                <w:rFonts w:ascii="宋体" w:hAnsi="宋体" w:eastAsia="宋体"/>
                <w:szCs w:val="21"/>
              </w:rPr>
            </w:pPr>
            <w:r>
              <w:rPr>
                <w:rFonts w:hint="eastAsia" w:ascii="宋体" w:hAnsi="宋体" w:eastAsia="宋体"/>
                <w:szCs w:val="21"/>
              </w:rPr>
              <w:t>徐钦明</w:t>
            </w:r>
          </w:p>
        </w:tc>
        <w:tc>
          <w:tcPr>
            <w:tcW w:w="1841" w:type="dxa"/>
            <w:tcBorders>
              <w:top w:val="single" w:color="auto" w:sz="4" w:space="0"/>
              <w:left w:val="nil"/>
              <w:bottom w:val="single" w:color="auto" w:sz="4" w:space="0"/>
              <w:right w:val="single" w:color="auto" w:sz="4" w:space="0"/>
            </w:tcBorders>
            <w:vAlign w:val="center"/>
          </w:tcPr>
          <w:p w14:paraId="3EC0B8C2">
            <w:pPr>
              <w:spacing w:line="240" w:lineRule="exact"/>
              <w:jc w:val="right"/>
              <w:rPr>
                <w:rFonts w:ascii="宋体" w:hAnsi="宋体" w:eastAsia="宋体"/>
                <w:szCs w:val="21"/>
              </w:rPr>
            </w:pPr>
            <w:r>
              <w:rPr>
                <w:rFonts w:hint="eastAsia" w:ascii="宋体" w:hAnsi="宋体" w:eastAsia="宋体"/>
                <w:szCs w:val="21"/>
                <w:shd w:val="clear" w:color="auto" w:fill="FFFFFF"/>
              </w:rPr>
              <w:t>10,000.00</w:t>
            </w:r>
          </w:p>
        </w:tc>
        <w:tc>
          <w:tcPr>
            <w:tcW w:w="1981" w:type="dxa"/>
            <w:tcBorders>
              <w:top w:val="single" w:color="auto" w:sz="4" w:space="0"/>
              <w:left w:val="nil"/>
              <w:bottom w:val="single" w:color="auto" w:sz="4" w:space="0"/>
              <w:right w:val="single" w:color="auto" w:sz="4" w:space="0"/>
            </w:tcBorders>
            <w:vAlign w:val="center"/>
          </w:tcPr>
          <w:p w14:paraId="02CBD611">
            <w:pPr>
              <w:spacing w:line="240" w:lineRule="exact"/>
              <w:jc w:val="left"/>
              <w:rPr>
                <w:rFonts w:ascii="宋体" w:hAnsi="宋体" w:eastAsia="宋体"/>
                <w:szCs w:val="21"/>
              </w:rPr>
            </w:pPr>
            <w:r>
              <w:rPr>
                <w:rFonts w:hint="eastAsia" w:ascii="宋体" w:hAnsi="宋体" w:eastAsia="宋体"/>
                <w:szCs w:val="21"/>
              </w:rPr>
              <w:t>安徽省淮北市东山路</w:t>
            </w:r>
          </w:p>
        </w:tc>
        <w:tc>
          <w:tcPr>
            <w:tcW w:w="3959" w:type="dxa"/>
            <w:tcBorders>
              <w:top w:val="single" w:color="auto" w:sz="4" w:space="0"/>
              <w:left w:val="nil"/>
              <w:bottom w:val="single" w:color="auto" w:sz="4" w:space="0"/>
              <w:right w:val="single" w:color="auto" w:sz="4" w:space="0"/>
            </w:tcBorders>
            <w:vAlign w:val="center"/>
          </w:tcPr>
          <w:p w14:paraId="0FB1781E">
            <w:pPr>
              <w:spacing w:line="240" w:lineRule="exact"/>
              <w:jc w:val="left"/>
              <w:rPr>
                <w:rFonts w:ascii="宋体" w:hAnsi="宋体" w:eastAsia="宋体"/>
                <w:szCs w:val="21"/>
              </w:rPr>
            </w:pPr>
            <w:r>
              <w:rPr>
                <w:rFonts w:ascii="宋体" w:hAnsi="宋体" w:eastAsia="宋体"/>
                <w:szCs w:val="21"/>
              </w:rPr>
              <w:t>爆破作业设计施工、安全评估、安全监理</w:t>
            </w:r>
            <w:r>
              <w:rPr>
                <w:rFonts w:hint="eastAsia" w:ascii="宋体" w:hAnsi="宋体" w:eastAsia="宋体"/>
                <w:szCs w:val="21"/>
              </w:rPr>
              <w:t>等</w:t>
            </w:r>
          </w:p>
        </w:tc>
        <w:tc>
          <w:tcPr>
            <w:tcW w:w="1947" w:type="dxa"/>
            <w:tcBorders>
              <w:top w:val="single" w:color="auto" w:sz="4" w:space="0"/>
              <w:left w:val="nil"/>
              <w:bottom w:val="single" w:color="auto" w:sz="4" w:space="0"/>
              <w:right w:val="double" w:color="auto" w:sz="2" w:space="0"/>
            </w:tcBorders>
            <w:vAlign w:val="center"/>
          </w:tcPr>
          <w:p w14:paraId="18D9EE9D">
            <w:pPr>
              <w:spacing w:line="240" w:lineRule="exact"/>
              <w:jc w:val="left"/>
              <w:rPr>
                <w:rFonts w:ascii="宋体" w:hAnsi="宋体" w:eastAsia="宋体"/>
                <w:szCs w:val="21"/>
              </w:rPr>
            </w:pPr>
            <w:r>
              <w:rPr>
                <w:rFonts w:hint="eastAsia" w:ascii="宋体" w:hAnsi="宋体" w:eastAsia="宋体"/>
                <w:szCs w:val="21"/>
              </w:rPr>
              <w:t>同受母公司控制</w:t>
            </w:r>
          </w:p>
        </w:tc>
      </w:tr>
      <w:tr w14:paraId="1C5FB9A7">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double" w:color="auto" w:sz="2" w:space="0"/>
              <w:bottom w:val="single" w:color="auto" w:sz="4" w:space="0"/>
              <w:right w:val="single" w:color="auto" w:sz="4" w:space="0"/>
            </w:tcBorders>
            <w:vAlign w:val="center"/>
          </w:tcPr>
          <w:p w14:paraId="0F464963">
            <w:pPr>
              <w:spacing w:line="240" w:lineRule="exact"/>
              <w:jc w:val="center"/>
              <w:rPr>
                <w:rFonts w:ascii="宋体" w:hAnsi="宋体" w:eastAsia="宋体"/>
                <w:szCs w:val="21"/>
              </w:rPr>
            </w:pPr>
            <w:r>
              <w:rPr>
                <w:rFonts w:hint="eastAsia" w:ascii="宋体" w:hAnsi="宋体" w:eastAsia="宋体"/>
                <w:szCs w:val="21"/>
              </w:rPr>
              <w:t>4</w:t>
            </w:r>
          </w:p>
        </w:tc>
        <w:tc>
          <w:tcPr>
            <w:tcW w:w="2037" w:type="dxa"/>
            <w:tcBorders>
              <w:top w:val="single" w:color="auto" w:sz="4" w:space="0"/>
              <w:left w:val="nil"/>
              <w:bottom w:val="single" w:color="auto" w:sz="4" w:space="0"/>
              <w:right w:val="single" w:color="auto" w:sz="4" w:space="0"/>
            </w:tcBorders>
            <w:vAlign w:val="center"/>
          </w:tcPr>
          <w:p w14:paraId="2102A831">
            <w:pPr>
              <w:spacing w:line="240" w:lineRule="exact"/>
              <w:jc w:val="left"/>
              <w:rPr>
                <w:rFonts w:ascii="宋体" w:hAnsi="宋体" w:eastAsia="宋体"/>
                <w:szCs w:val="21"/>
              </w:rPr>
            </w:pPr>
            <w:r>
              <w:rPr>
                <w:rFonts w:hint="eastAsia" w:ascii="宋体" w:hAnsi="宋体" w:eastAsia="宋体"/>
                <w:szCs w:val="21"/>
              </w:rPr>
              <w:t>淮北矿业集团财务有限公司</w:t>
            </w:r>
          </w:p>
        </w:tc>
        <w:tc>
          <w:tcPr>
            <w:tcW w:w="2571" w:type="dxa"/>
            <w:tcBorders>
              <w:top w:val="single" w:color="auto" w:sz="4" w:space="0"/>
              <w:left w:val="nil"/>
              <w:bottom w:val="single" w:color="auto" w:sz="4" w:space="0"/>
              <w:right w:val="single" w:color="auto" w:sz="4" w:space="0"/>
            </w:tcBorders>
            <w:vAlign w:val="center"/>
          </w:tcPr>
          <w:p w14:paraId="27BD11EF">
            <w:pPr>
              <w:spacing w:line="240" w:lineRule="exact"/>
              <w:jc w:val="left"/>
              <w:rPr>
                <w:rFonts w:ascii="宋体" w:hAnsi="宋体" w:eastAsia="宋体"/>
                <w:szCs w:val="21"/>
              </w:rPr>
            </w:pPr>
            <w:r>
              <w:rPr>
                <w:rFonts w:hint="eastAsia" w:ascii="宋体" w:hAnsi="宋体" w:eastAsia="宋体"/>
                <w:szCs w:val="21"/>
              </w:rPr>
              <w:t>其他有限责任公司</w:t>
            </w:r>
          </w:p>
        </w:tc>
        <w:tc>
          <w:tcPr>
            <w:tcW w:w="1469" w:type="dxa"/>
            <w:tcBorders>
              <w:top w:val="single" w:color="auto" w:sz="4" w:space="0"/>
              <w:left w:val="nil"/>
              <w:bottom w:val="single" w:color="auto" w:sz="4" w:space="0"/>
              <w:right w:val="single" w:color="auto" w:sz="4" w:space="0"/>
            </w:tcBorders>
            <w:vAlign w:val="center"/>
          </w:tcPr>
          <w:p w14:paraId="58824303">
            <w:pPr>
              <w:spacing w:line="240" w:lineRule="exact"/>
              <w:jc w:val="center"/>
              <w:rPr>
                <w:rFonts w:ascii="宋体" w:hAnsi="宋体" w:eastAsia="宋体"/>
                <w:szCs w:val="21"/>
              </w:rPr>
            </w:pPr>
            <w:r>
              <w:rPr>
                <w:rFonts w:hint="eastAsia" w:ascii="宋体" w:hAnsi="宋体" w:eastAsia="宋体"/>
                <w:szCs w:val="21"/>
              </w:rPr>
              <w:t>殷召峰</w:t>
            </w:r>
          </w:p>
        </w:tc>
        <w:tc>
          <w:tcPr>
            <w:tcW w:w="1841" w:type="dxa"/>
            <w:tcBorders>
              <w:top w:val="single" w:color="auto" w:sz="4" w:space="0"/>
              <w:left w:val="nil"/>
              <w:bottom w:val="single" w:color="auto" w:sz="4" w:space="0"/>
              <w:right w:val="single" w:color="auto" w:sz="4" w:space="0"/>
            </w:tcBorders>
            <w:vAlign w:val="center"/>
          </w:tcPr>
          <w:p w14:paraId="66BE6127">
            <w:pPr>
              <w:spacing w:line="240" w:lineRule="exact"/>
              <w:jc w:val="right"/>
              <w:rPr>
                <w:rFonts w:ascii="宋体" w:hAnsi="宋体" w:eastAsia="宋体"/>
                <w:szCs w:val="21"/>
              </w:rPr>
            </w:pPr>
            <w:r>
              <w:rPr>
                <w:rFonts w:hint="eastAsia" w:ascii="宋体" w:hAnsi="宋体" w:eastAsia="宋体"/>
                <w:szCs w:val="21"/>
                <w:shd w:val="clear" w:color="auto" w:fill="FFFFFF"/>
              </w:rPr>
              <w:t>163,300.00</w:t>
            </w:r>
          </w:p>
        </w:tc>
        <w:tc>
          <w:tcPr>
            <w:tcW w:w="1981" w:type="dxa"/>
            <w:tcBorders>
              <w:top w:val="single" w:color="auto" w:sz="4" w:space="0"/>
              <w:left w:val="nil"/>
              <w:bottom w:val="single" w:color="auto" w:sz="4" w:space="0"/>
              <w:right w:val="single" w:color="auto" w:sz="4" w:space="0"/>
            </w:tcBorders>
            <w:vAlign w:val="center"/>
          </w:tcPr>
          <w:p w14:paraId="5B8212CB">
            <w:pPr>
              <w:spacing w:line="240" w:lineRule="exact"/>
              <w:jc w:val="left"/>
              <w:rPr>
                <w:rFonts w:ascii="宋体" w:hAnsi="宋体" w:eastAsia="宋体"/>
                <w:szCs w:val="21"/>
              </w:rPr>
            </w:pPr>
            <w:r>
              <w:rPr>
                <w:rFonts w:hint="eastAsia" w:ascii="宋体" w:hAnsi="宋体" w:eastAsia="宋体"/>
                <w:szCs w:val="21"/>
              </w:rPr>
              <w:t>安徽省淮北市相山区人民中路276号淮北矿业办公中心东座12层</w:t>
            </w:r>
          </w:p>
        </w:tc>
        <w:tc>
          <w:tcPr>
            <w:tcW w:w="3959" w:type="dxa"/>
            <w:tcBorders>
              <w:top w:val="single" w:color="auto" w:sz="4" w:space="0"/>
              <w:left w:val="nil"/>
              <w:bottom w:val="single" w:color="auto" w:sz="4" w:space="0"/>
              <w:right w:val="single" w:color="auto" w:sz="4" w:space="0"/>
            </w:tcBorders>
            <w:vAlign w:val="center"/>
          </w:tcPr>
          <w:p w14:paraId="1552C76D">
            <w:pPr>
              <w:spacing w:line="240" w:lineRule="exact"/>
              <w:jc w:val="left"/>
              <w:rPr>
                <w:rFonts w:ascii="宋体" w:hAnsi="宋体" w:eastAsia="宋体"/>
                <w:szCs w:val="21"/>
              </w:rPr>
            </w:pPr>
            <w:r>
              <w:rPr>
                <w:rFonts w:ascii="宋体" w:hAnsi="宋体" w:eastAsia="宋体"/>
                <w:szCs w:val="21"/>
              </w:rPr>
              <w:t>企业集团财务公司服务</w:t>
            </w:r>
            <w:r>
              <w:rPr>
                <w:rFonts w:hint="eastAsia" w:ascii="宋体" w:hAnsi="宋体" w:eastAsia="宋体"/>
                <w:szCs w:val="21"/>
              </w:rPr>
              <w:t>等</w:t>
            </w:r>
          </w:p>
        </w:tc>
        <w:tc>
          <w:tcPr>
            <w:tcW w:w="1947" w:type="dxa"/>
            <w:tcBorders>
              <w:top w:val="single" w:color="auto" w:sz="4" w:space="0"/>
              <w:left w:val="nil"/>
              <w:bottom w:val="single" w:color="auto" w:sz="4" w:space="0"/>
              <w:right w:val="double" w:color="auto" w:sz="2" w:space="0"/>
            </w:tcBorders>
            <w:vAlign w:val="center"/>
          </w:tcPr>
          <w:p w14:paraId="205E37DF">
            <w:pPr>
              <w:spacing w:line="240" w:lineRule="exact"/>
              <w:jc w:val="left"/>
              <w:rPr>
                <w:rFonts w:ascii="宋体" w:hAnsi="宋体" w:eastAsia="宋体"/>
                <w:szCs w:val="21"/>
              </w:rPr>
            </w:pPr>
            <w:r>
              <w:rPr>
                <w:rFonts w:hint="eastAsia" w:ascii="宋体" w:hAnsi="宋体" w:eastAsia="宋体"/>
                <w:szCs w:val="21"/>
              </w:rPr>
              <w:t>同受母公司控制</w:t>
            </w:r>
          </w:p>
        </w:tc>
      </w:tr>
      <w:tr w14:paraId="2986DD4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double" w:color="auto" w:sz="2" w:space="0"/>
              <w:bottom w:val="single" w:color="auto" w:sz="4" w:space="0"/>
              <w:right w:val="single" w:color="auto" w:sz="4" w:space="0"/>
            </w:tcBorders>
            <w:vAlign w:val="center"/>
          </w:tcPr>
          <w:p w14:paraId="36C0238E">
            <w:pPr>
              <w:spacing w:line="240" w:lineRule="exact"/>
              <w:jc w:val="center"/>
              <w:rPr>
                <w:rFonts w:ascii="宋体" w:hAnsi="宋体" w:eastAsia="宋体"/>
                <w:szCs w:val="21"/>
              </w:rPr>
            </w:pPr>
            <w:r>
              <w:rPr>
                <w:rFonts w:hint="eastAsia" w:ascii="宋体" w:hAnsi="宋体" w:eastAsia="宋体"/>
                <w:szCs w:val="21"/>
              </w:rPr>
              <w:t>5</w:t>
            </w:r>
          </w:p>
        </w:tc>
        <w:tc>
          <w:tcPr>
            <w:tcW w:w="2037" w:type="dxa"/>
            <w:tcBorders>
              <w:top w:val="single" w:color="auto" w:sz="4" w:space="0"/>
              <w:left w:val="nil"/>
              <w:bottom w:val="single" w:color="auto" w:sz="4" w:space="0"/>
              <w:right w:val="single" w:color="auto" w:sz="4" w:space="0"/>
            </w:tcBorders>
            <w:vAlign w:val="center"/>
          </w:tcPr>
          <w:p w14:paraId="2C6E3170">
            <w:pPr>
              <w:spacing w:line="240" w:lineRule="exact"/>
              <w:jc w:val="left"/>
              <w:rPr>
                <w:rFonts w:ascii="宋体" w:hAnsi="宋体" w:eastAsia="宋体"/>
                <w:szCs w:val="21"/>
              </w:rPr>
            </w:pPr>
            <w:r>
              <w:rPr>
                <w:rFonts w:hint="eastAsia" w:ascii="宋体" w:hAnsi="宋体" w:eastAsia="宋体"/>
                <w:szCs w:val="21"/>
              </w:rPr>
              <w:t>淮北矿业股份有限公司</w:t>
            </w:r>
          </w:p>
        </w:tc>
        <w:tc>
          <w:tcPr>
            <w:tcW w:w="2571" w:type="dxa"/>
            <w:tcBorders>
              <w:top w:val="single" w:color="auto" w:sz="4" w:space="0"/>
              <w:left w:val="nil"/>
              <w:bottom w:val="single" w:color="auto" w:sz="4" w:space="0"/>
              <w:right w:val="single" w:color="auto" w:sz="4" w:space="0"/>
            </w:tcBorders>
            <w:vAlign w:val="center"/>
          </w:tcPr>
          <w:p w14:paraId="141FB959">
            <w:pPr>
              <w:spacing w:line="240" w:lineRule="exact"/>
              <w:jc w:val="left"/>
              <w:rPr>
                <w:rFonts w:ascii="宋体" w:hAnsi="宋体" w:eastAsia="宋体"/>
                <w:szCs w:val="21"/>
              </w:rPr>
            </w:pPr>
            <w:r>
              <w:rPr>
                <w:rFonts w:hint="eastAsia" w:ascii="宋体" w:hAnsi="宋体" w:eastAsia="宋体"/>
                <w:szCs w:val="21"/>
              </w:rPr>
              <w:t>股份有限公司（非上市、国有控股）</w:t>
            </w:r>
          </w:p>
        </w:tc>
        <w:tc>
          <w:tcPr>
            <w:tcW w:w="1469" w:type="dxa"/>
            <w:tcBorders>
              <w:top w:val="single" w:color="auto" w:sz="4" w:space="0"/>
              <w:left w:val="nil"/>
              <w:bottom w:val="single" w:color="auto" w:sz="4" w:space="0"/>
              <w:right w:val="single" w:color="auto" w:sz="4" w:space="0"/>
            </w:tcBorders>
            <w:vAlign w:val="center"/>
          </w:tcPr>
          <w:p w14:paraId="607C598E">
            <w:pPr>
              <w:spacing w:line="240" w:lineRule="exact"/>
              <w:jc w:val="center"/>
              <w:rPr>
                <w:rFonts w:ascii="宋体" w:hAnsi="宋体" w:eastAsia="宋体"/>
                <w:szCs w:val="21"/>
              </w:rPr>
            </w:pPr>
            <w:r>
              <w:rPr>
                <w:rFonts w:hint="eastAsia" w:ascii="宋体" w:hAnsi="宋体" w:eastAsia="宋体"/>
                <w:szCs w:val="21"/>
              </w:rPr>
              <w:t>孙方</w:t>
            </w:r>
          </w:p>
        </w:tc>
        <w:tc>
          <w:tcPr>
            <w:tcW w:w="1841" w:type="dxa"/>
            <w:tcBorders>
              <w:top w:val="single" w:color="auto" w:sz="4" w:space="0"/>
              <w:left w:val="nil"/>
              <w:bottom w:val="single" w:color="auto" w:sz="4" w:space="0"/>
              <w:right w:val="single" w:color="auto" w:sz="4" w:space="0"/>
            </w:tcBorders>
            <w:vAlign w:val="center"/>
          </w:tcPr>
          <w:p w14:paraId="509B1E38">
            <w:pPr>
              <w:spacing w:line="240" w:lineRule="exact"/>
              <w:jc w:val="right"/>
              <w:rPr>
                <w:rFonts w:ascii="宋体" w:hAnsi="宋体" w:eastAsia="宋体"/>
                <w:szCs w:val="21"/>
                <w:shd w:val="clear" w:color="auto" w:fill="FFFFFF"/>
              </w:rPr>
            </w:pPr>
            <w:r>
              <w:rPr>
                <w:rFonts w:hint="eastAsia" w:ascii="宋体" w:hAnsi="宋体" w:eastAsia="宋体"/>
                <w:szCs w:val="21"/>
                <w:shd w:val="clear" w:color="auto" w:fill="FFFFFF"/>
              </w:rPr>
              <w:t>675,107.00</w:t>
            </w:r>
          </w:p>
        </w:tc>
        <w:tc>
          <w:tcPr>
            <w:tcW w:w="1981" w:type="dxa"/>
            <w:tcBorders>
              <w:top w:val="single" w:color="auto" w:sz="4" w:space="0"/>
              <w:left w:val="nil"/>
              <w:bottom w:val="single" w:color="auto" w:sz="4" w:space="0"/>
              <w:right w:val="single" w:color="auto" w:sz="4" w:space="0"/>
            </w:tcBorders>
            <w:vAlign w:val="center"/>
          </w:tcPr>
          <w:p w14:paraId="43FB801E">
            <w:pPr>
              <w:spacing w:line="240" w:lineRule="exact"/>
              <w:jc w:val="left"/>
              <w:rPr>
                <w:rFonts w:ascii="宋体" w:hAnsi="宋体" w:eastAsia="宋体"/>
                <w:szCs w:val="21"/>
              </w:rPr>
            </w:pPr>
            <w:r>
              <w:rPr>
                <w:rFonts w:hint="eastAsia" w:ascii="宋体" w:hAnsi="宋体" w:eastAsia="宋体"/>
                <w:szCs w:val="21"/>
              </w:rPr>
              <w:t>安徽省淮北市相山区人民中路276号</w:t>
            </w:r>
          </w:p>
        </w:tc>
        <w:tc>
          <w:tcPr>
            <w:tcW w:w="3959" w:type="dxa"/>
            <w:tcBorders>
              <w:top w:val="single" w:color="auto" w:sz="4" w:space="0"/>
              <w:left w:val="nil"/>
              <w:bottom w:val="single" w:color="auto" w:sz="4" w:space="0"/>
              <w:right w:val="single" w:color="auto" w:sz="4" w:space="0"/>
            </w:tcBorders>
            <w:vAlign w:val="center"/>
          </w:tcPr>
          <w:p w14:paraId="245F6F7C">
            <w:pPr>
              <w:spacing w:line="240" w:lineRule="exact"/>
              <w:jc w:val="left"/>
              <w:rPr>
                <w:rFonts w:ascii="宋体" w:hAnsi="宋体" w:eastAsia="宋体"/>
                <w:szCs w:val="21"/>
              </w:rPr>
            </w:pPr>
            <w:r>
              <w:rPr>
                <w:rFonts w:hint="eastAsia" w:ascii="宋体" w:hAnsi="宋体" w:eastAsia="宋体"/>
                <w:szCs w:val="21"/>
              </w:rPr>
              <w:t>煤化工产品的生产销售等</w:t>
            </w:r>
          </w:p>
        </w:tc>
        <w:tc>
          <w:tcPr>
            <w:tcW w:w="1947" w:type="dxa"/>
            <w:tcBorders>
              <w:top w:val="single" w:color="auto" w:sz="4" w:space="0"/>
              <w:left w:val="nil"/>
              <w:bottom w:val="single" w:color="auto" w:sz="4" w:space="0"/>
              <w:right w:val="double" w:color="auto" w:sz="2" w:space="0"/>
            </w:tcBorders>
            <w:vAlign w:val="center"/>
          </w:tcPr>
          <w:p w14:paraId="24F6194B">
            <w:pPr>
              <w:spacing w:line="240" w:lineRule="exact"/>
              <w:jc w:val="left"/>
              <w:rPr>
                <w:rFonts w:ascii="宋体" w:hAnsi="宋体" w:eastAsia="宋体"/>
                <w:szCs w:val="21"/>
              </w:rPr>
            </w:pPr>
            <w:r>
              <w:rPr>
                <w:rFonts w:hint="eastAsia" w:ascii="宋体" w:hAnsi="宋体" w:eastAsia="宋体"/>
                <w:szCs w:val="21"/>
              </w:rPr>
              <w:t>同受母公司控制</w:t>
            </w:r>
          </w:p>
        </w:tc>
      </w:tr>
      <w:tr w14:paraId="11A1ED3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double" w:color="auto" w:sz="2" w:space="0"/>
              <w:bottom w:val="single" w:color="auto" w:sz="4" w:space="0"/>
              <w:right w:val="single" w:color="auto" w:sz="4" w:space="0"/>
            </w:tcBorders>
            <w:vAlign w:val="center"/>
          </w:tcPr>
          <w:p w14:paraId="7528EFCF">
            <w:pPr>
              <w:spacing w:line="240" w:lineRule="exact"/>
              <w:jc w:val="center"/>
              <w:rPr>
                <w:rFonts w:ascii="宋体" w:hAnsi="宋体" w:eastAsia="宋体"/>
                <w:szCs w:val="21"/>
              </w:rPr>
            </w:pPr>
            <w:r>
              <w:rPr>
                <w:rFonts w:hint="eastAsia" w:ascii="宋体" w:hAnsi="宋体" w:eastAsia="宋体"/>
                <w:szCs w:val="21"/>
              </w:rPr>
              <w:t>6</w:t>
            </w:r>
          </w:p>
        </w:tc>
        <w:tc>
          <w:tcPr>
            <w:tcW w:w="2037" w:type="dxa"/>
            <w:tcBorders>
              <w:top w:val="single" w:color="auto" w:sz="4" w:space="0"/>
              <w:left w:val="nil"/>
              <w:bottom w:val="single" w:color="auto" w:sz="4" w:space="0"/>
              <w:right w:val="single" w:color="auto" w:sz="4" w:space="0"/>
            </w:tcBorders>
            <w:vAlign w:val="center"/>
          </w:tcPr>
          <w:p w14:paraId="12E617A8">
            <w:pPr>
              <w:spacing w:line="240" w:lineRule="exact"/>
              <w:jc w:val="left"/>
              <w:rPr>
                <w:rFonts w:ascii="宋体" w:hAnsi="宋体" w:eastAsia="宋体"/>
                <w:szCs w:val="21"/>
              </w:rPr>
            </w:pPr>
            <w:r>
              <w:rPr>
                <w:rFonts w:hint="eastAsia" w:ascii="宋体" w:hAnsi="宋体" w:eastAsia="宋体"/>
                <w:szCs w:val="21"/>
              </w:rPr>
              <w:t>淮北矿业集团供应链科技有限公司</w:t>
            </w:r>
          </w:p>
        </w:tc>
        <w:tc>
          <w:tcPr>
            <w:tcW w:w="2571" w:type="dxa"/>
            <w:tcBorders>
              <w:top w:val="single" w:color="auto" w:sz="4" w:space="0"/>
              <w:left w:val="nil"/>
              <w:bottom w:val="single" w:color="auto" w:sz="4" w:space="0"/>
              <w:right w:val="single" w:color="auto" w:sz="4" w:space="0"/>
            </w:tcBorders>
            <w:vAlign w:val="center"/>
          </w:tcPr>
          <w:p w14:paraId="6876AEC6">
            <w:pPr>
              <w:spacing w:line="240" w:lineRule="exact"/>
              <w:jc w:val="left"/>
              <w:rPr>
                <w:rFonts w:ascii="宋体" w:hAnsi="宋体" w:eastAsia="宋体"/>
                <w:szCs w:val="21"/>
              </w:rPr>
            </w:pPr>
            <w:r>
              <w:rPr>
                <w:rFonts w:hint="eastAsia" w:ascii="宋体" w:hAnsi="宋体" w:eastAsia="宋体"/>
                <w:szCs w:val="21"/>
              </w:rPr>
              <w:t>有限责任公司（非自然人投资或控股的法人独资）</w:t>
            </w:r>
          </w:p>
        </w:tc>
        <w:tc>
          <w:tcPr>
            <w:tcW w:w="1469" w:type="dxa"/>
            <w:tcBorders>
              <w:top w:val="single" w:color="auto" w:sz="4" w:space="0"/>
              <w:left w:val="nil"/>
              <w:bottom w:val="single" w:color="auto" w:sz="4" w:space="0"/>
              <w:right w:val="single" w:color="auto" w:sz="4" w:space="0"/>
            </w:tcBorders>
            <w:vAlign w:val="center"/>
          </w:tcPr>
          <w:p w14:paraId="356D1E6E">
            <w:pPr>
              <w:spacing w:line="240" w:lineRule="exact"/>
              <w:jc w:val="center"/>
              <w:rPr>
                <w:rFonts w:ascii="宋体" w:hAnsi="宋体" w:eastAsia="宋体"/>
                <w:szCs w:val="21"/>
              </w:rPr>
            </w:pPr>
            <w:r>
              <w:rPr>
                <w:rFonts w:hint="eastAsia" w:ascii="宋体" w:hAnsi="宋体" w:eastAsia="宋体"/>
                <w:szCs w:val="21"/>
              </w:rPr>
              <w:t>解天勇</w:t>
            </w:r>
          </w:p>
        </w:tc>
        <w:tc>
          <w:tcPr>
            <w:tcW w:w="1841" w:type="dxa"/>
            <w:tcBorders>
              <w:top w:val="single" w:color="auto" w:sz="4" w:space="0"/>
              <w:left w:val="nil"/>
              <w:bottom w:val="single" w:color="auto" w:sz="4" w:space="0"/>
              <w:right w:val="single" w:color="auto" w:sz="4" w:space="0"/>
            </w:tcBorders>
            <w:vAlign w:val="center"/>
          </w:tcPr>
          <w:p w14:paraId="3F962409">
            <w:pPr>
              <w:spacing w:line="240" w:lineRule="exact"/>
              <w:jc w:val="right"/>
              <w:rPr>
                <w:rFonts w:ascii="宋体" w:hAnsi="宋体" w:eastAsia="宋体"/>
                <w:szCs w:val="21"/>
                <w:shd w:val="clear" w:color="auto" w:fill="FFFFFF"/>
              </w:rPr>
            </w:pPr>
            <w:r>
              <w:rPr>
                <w:rFonts w:hint="eastAsia" w:ascii="宋体" w:hAnsi="宋体" w:eastAsia="宋体"/>
                <w:szCs w:val="21"/>
                <w:shd w:val="clear" w:color="auto" w:fill="FFFFFF"/>
              </w:rPr>
              <w:t>5,000.00</w:t>
            </w:r>
          </w:p>
        </w:tc>
        <w:tc>
          <w:tcPr>
            <w:tcW w:w="1981" w:type="dxa"/>
            <w:tcBorders>
              <w:top w:val="single" w:color="auto" w:sz="4" w:space="0"/>
              <w:left w:val="nil"/>
              <w:bottom w:val="single" w:color="auto" w:sz="4" w:space="0"/>
              <w:right w:val="single" w:color="auto" w:sz="4" w:space="0"/>
            </w:tcBorders>
            <w:vAlign w:val="center"/>
          </w:tcPr>
          <w:p w14:paraId="0C5E92A4">
            <w:pPr>
              <w:spacing w:line="240" w:lineRule="exact"/>
              <w:jc w:val="left"/>
              <w:rPr>
                <w:rFonts w:ascii="宋体" w:hAnsi="宋体" w:eastAsia="宋体"/>
                <w:szCs w:val="21"/>
              </w:rPr>
            </w:pPr>
            <w:r>
              <w:rPr>
                <w:rFonts w:hint="eastAsia" w:ascii="宋体" w:hAnsi="宋体" w:eastAsia="宋体"/>
                <w:szCs w:val="21"/>
              </w:rPr>
              <w:t>安徽省淮北市烈山区青龙山产业园陶博路3号双创中心二楼202</w:t>
            </w:r>
          </w:p>
        </w:tc>
        <w:tc>
          <w:tcPr>
            <w:tcW w:w="3959" w:type="dxa"/>
            <w:tcBorders>
              <w:top w:val="single" w:color="auto" w:sz="4" w:space="0"/>
              <w:left w:val="nil"/>
              <w:bottom w:val="single" w:color="auto" w:sz="4" w:space="0"/>
              <w:right w:val="single" w:color="auto" w:sz="4" w:space="0"/>
            </w:tcBorders>
            <w:vAlign w:val="center"/>
          </w:tcPr>
          <w:p w14:paraId="4ACF89A5">
            <w:pPr>
              <w:spacing w:line="240" w:lineRule="exact"/>
              <w:jc w:val="left"/>
              <w:rPr>
                <w:rFonts w:ascii="宋体" w:hAnsi="宋体" w:eastAsia="宋体"/>
                <w:szCs w:val="21"/>
              </w:rPr>
            </w:pPr>
            <w:r>
              <w:rPr>
                <w:rFonts w:hint="eastAsia" w:ascii="宋体" w:hAnsi="宋体" w:eastAsia="宋体"/>
                <w:szCs w:val="21"/>
              </w:rPr>
              <w:t>供应链科技领域内的技术开发、技术服务、技术咨询、技术转让，供应链管理，道路普通货物运输，仓储服务等</w:t>
            </w:r>
          </w:p>
        </w:tc>
        <w:tc>
          <w:tcPr>
            <w:tcW w:w="1947" w:type="dxa"/>
            <w:tcBorders>
              <w:top w:val="single" w:color="auto" w:sz="4" w:space="0"/>
              <w:left w:val="nil"/>
              <w:bottom w:val="single" w:color="auto" w:sz="4" w:space="0"/>
              <w:right w:val="double" w:color="auto" w:sz="2" w:space="0"/>
            </w:tcBorders>
            <w:vAlign w:val="center"/>
          </w:tcPr>
          <w:p w14:paraId="57F52FCD">
            <w:pPr>
              <w:spacing w:line="240" w:lineRule="exact"/>
              <w:jc w:val="left"/>
              <w:rPr>
                <w:rFonts w:ascii="宋体" w:hAnsi="宋体" w:eastAsia="宋体"/>
                <w:szCs w:val="21"/>
              </w:rPr>
            </w:pPr>
            <w:r>
              <w:rPr>
                <w:rFonts w:hint="eastAsia" w:ascii="宋体" w:hAnsi="宋体" w:eastAsia="宋体"/>
                <w:szCs w:val="21"/>
              </w:rPr>
              <w:t>同受母公司控制</w:t>
            </w:r>
          </w:p>
        </w:tc>
      </w:tr>
      <w:tr w14:paraId="7AB61F9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3" w:type="dxa"/>
            <w:tcBorders>
              <w:top w:val="single" w:color="auto" w:sz="4" w:space="0"/>
              <w:left w:val="double" w:color="auto" w:sz="2" w:space="0"/>
              <w:bottom w:val="single" w:color="auto" w:sz="4" w:space="0"/>
              <w:right w:val="single" w:color="auto" w:sz="4" w:space="0"/>
            </w:tcBorders>
            <w:vAlign w:val="center"/>
          </w:tcPr>
          <w:p w14:paraId="386C8D1F">
            <w:pPr>
              <w:spacing w:line="240" w:lineRule="exact"/>
              <w:jc w:val="center"/>
              <w:rPr>
                <w:rFonts w:ascii="宋体" w:hAnsi="宋体" w:eastAsia="宋体"/>
                <w:szCs w:val="21"/>
              </w:rPr>
            </w:pPr>
            <w:r>
              <w:rPr>
                <w:rFonts w:hint="eastAsia" w:ascii="宋体" w:hAnsi="宋体" w:eastAsia="宋体"/>
                <w:szCs w:val="21"/>
              </w:rPr>
              <w:t>7</w:t>
            </w:r>
          </w:p>
        </w:tc>
        <w:tc>
          <w:tcPr>
            <w:tcW w:w="2037" w:type="dxa"/>
            <w:tcBorders>
              <w:top w:val="single" w:color="auto" w:sz="4" w:space="0"/>
              <w:left w:val="nil"/>
              <w:bottom w:val="single" w:color="auto" w:sz="4" w:space="0"/>
              <w:right w:val="single" w:color="auto" w:sz="4" w:space="0"/>
            </w:tcBorders>
            <w:vAlign w:val="center"/>
          </w:tcPr>
          <w:p w14:paraId="4B40E4E9">
            <w:pPr>
              <w:spacing w:line="240" w:lineRule="exact"/>
              <w:jc w:val="left"/>
              <w:rPr>
                <w:rFonts w:ascii="宋体" w:hAnsi="宋体" w:eastAsia="宋体"/>
                <w:szCs w:val="21"/>
              </w:rPr>
            </w:pPr>
            <w:r>
              <w:rPr>
                <w:rFonts w:hint="eastAsia" w:ascii="宋体" w:hAnsi="宋体" w:eastAsia="宋体"/>
                <w:szCs w:val="21"/>
              </w:rPr>
              <w:t>中国成达工程有限公司</w:t>
            </w:r>
          </w:p>
        </w:tc>
        <w:tc>
          <w:tcPr>
            <w:tcW w:w="2571" w:type="dxa"/>
            <w:tcBorders>
              <w:top w:val="single" w:color="auto" w:sz="4" w:space="0"/>
              <w:left w:val="nil"/>
              <w:bottom w:val="single" w:color="auto" w:sz="4" w:space="0"/>
              <w:right w:val="single" w:color="auto" w:sz="4" w:space="0"/>
            </w:tcBorders>
            <w:vAlign w:val="center"/>
          </w:tcPr>
          <w:p w14:paraId="16215B23">
            <w:pPr>
              <w:spacing w:line="240" w:lineRule="exact"/>
              <w:jc w:val="left"/>
              <w:rPr>
                <w:rFonts w:ascii="宋体" w:hAnsi="宋体" w:eastAsia="宋体"/>
                <w:szCs w:val="21"/>
              </w:rPr>
            </w:pPr>
            <w:r>
              <w:rPr>
                <w:rFonts w:hint="eastAsia" w:ascii="宋体" w:hAnsi="宋体" w:eastAsia="宋体"/>
                <w:szCs w:val="21"/>
              </w:rPr>
              <w:t>有限责任公司（非自然人投资或控股的法人独资）</w:t>
            </w:r>
          </w:p>
        </w:tc>
        <w:tc>
          <w:tcPr>
            <w:tcW w:w="1469" w:type="dxa"/>
            <w:tcBorders>
              <w:top w:val="single" w:color="auto" w:sz="4" w:space="0"/>
              <w:left w:val="nil"/>
              <w:bottom w:val="single" w:color="auto" w:sz="4" w:space="0"/>
              <w:right w:val="single" w:color="auto" w:sz="4" w:space="0"/>
            </w:tcBorders>
            <w:vAlign w:val="center"/>
          </w:tcPr>
          <w:p w14:paraId="373E0F3A">
            <w:pPr>
              <w:spacing w:line="240" w:lineRule="exact"/>
              <w:jc w:val="center"/>
              <w:rPr>
                <w:rFonts w:ascii="宋体" w:hAnsi="宋体" w:eastAsia="宋体"/>
                <w:szCs w:val="21"/>
              </w:rPr>
            </w:pPr>
            <w:r>
              <w:rPr>
                <w:rFonts w:hint="eastAsia" w:ascii="宋体" w:hAnsi="宋体" w:eastAsia="宋体"/>
                <w:szCs w:val="21"/>
              </w:rPr>
              <w:t>刘一横</w:t>
            </w:r>
          </w:p>
        </w:tc>
        <w:tc>
          <w:tcPr>
            <w:tcW w:w="1841" w:type="dxa"/>
            <w:tcBorders>
              <w:top w:val="single" w:color="auto" w:sz="4" w:space="0"/>
              <w:left w:val="nil"/>
              <w:bottom w:val="single" w:color="auto" w:sz="4" w:space="0"/>
              <w:right w:val="single" w:color="auto" w:sz="4" w:space="0"/>
            </w:tcBorders>
            <w:vAlign w:val="center"/>
          </w:tcPr>
          <w:p w14:paraId="627053B1">
            <w:pPr>
              <w:spacing w:line="240" w:lineRule="exact"/>
              <w:jc w:val="right"/>
              <w:rPr>
                <w:rFonts w:ascii="宋体" w:hAnsi="宋体" w:eastAsia="宋体"/>
                <w:szCs w:val="21"/>
              </w:rPr>
            </w:pPr>
            <w:r>
              <w:rPr>
                <w:rFonts w:hint="eastAsia" w:ascii="宋体" w:hAnsi="宋体" w:eastAsia="宋体"/>
                <w:szCs w:val="21"/>
                <w:shd w:val="clear" w:color="auto" w:fill="FFFFFF"/>
              </w:rPr>
              <w:t>200,000.00</w:t>
            </w:r>
          </w:p>
        </w:tc>
        <w:tc>
          <w:tcPr>
            <w:tcW w:w="1981" w:type="dxa"/>
            <w:tcBorders>
              <w:top w:val="single" w:color="auto" w:sz="4" w:space="0"/>
              <w:left w:val="nil"/>
              <w:bottom w:val="single" w:color="auto" w:sz="4" w:space="0"/>
              <w:right w:val="single" w:color="auto" w:sz="4" w:space="0"/>
            </w:tcBorders>
            <w:vAlign w:val="center"/>
          </w:tcPr>
          <w:p w14:paraId="44951CF0">
            <w:pPr>
              <w:spacing w:line="240" w:lineRule="exact"/>
              <w:jc w:val="left"/>
              <w:rPr>
                <w:rFonts w:ascii="宋体" w:hAnsi="宋体" w:eastAsia="宋体"/>
                <w:szCs w:val="21"/>
              </w:rPr>
            </w:pPr>
            <w:r>
              <w:rPr>
                <w:rFonts w:hint="eastAsia" w:ascii="宋体" w:hAnsi="宋体" w:eastAsia="宋体"/>
                <w:szCs w:val="21"/>
              </w:rPr>
              <w:t>成都市天府大道中段279号</w:t>
            </w:r>
          </w:p>
        </w:tc>
        <w:tc>
          <w:tcPr>
            <w:tcW w:w="3959" w:type="dxa"/>
            <w:tcBorders>
              <w:top w:val="single" w:color="auto" w:sz="4" w:space="0"/>
              <w:left w:val="nil"/>
              <w:bottom w:val="single" w:color="auto" w:sz="4" w:space="0"/>
              <w:right w:val="single" w:color="auto" w:sz="4" w:space="0"/>
            </w:tcBorders>
            <w:vAlign w:val="center"/>
          </w:tcPr>
          <w:p w14:paraId="12A26BDE">
            <w:pPr>
              <w:spacing w:line="240" w:lineRule="exact"/>
              <w:jc w:val="left"/>
              <w:rPr>
                <w:rFonts w:ascii="宋体" w:hAnsi="宋体" w:eastAsia="宋体"/>
                <w:szCs w:val="21"/>
              </w:rPr>
            </w:pPr>
            <w:r>
              <w:rPr>
                <w:rFonts w:hint="eastAsia" w:ascii="宋体" w:hAnsi="宋体" w:eastAsia="宋体"/>
                <w:szCs w:val="21"/>
              </w:rPr>
              <w:t>以化工工程设计为主的一家国际综合型工程公司</w:t>
            </w:r>
          </w:p>
        </w:tc>
        <w:tc>
          <w:tcPr>
            <w:tcW w:w="1947" w:type="dxa"/>
            <w:tcBorders>
              <w:top w:val="single" w:color="auto" w:sz="4" w:space="0"/>
              <w:left w:val="nil"/>
              <w:bottom w:val="single" w:color="auto" w:sz="4" w:space="0"/>
              <w:right w:val="double" w:color="auto" w:sz="2" w:space="0"/>
            </w:tcBorders>
            <w:vAlign w:val="center"/>
          </w:tcPr>
          <w:p w14:paraId="655A42A6">
            <w:pPr>
              <w:spacing w:line="240" w:lineRule="exact"/>
              <w:jc w:val="left"/>
              <w:rPr>
                <w:rFonts w:ascii="宋体" w:hAnsi="宋体" w:eastAsia="宋体"/>
                <w:szCs w:val="21"/>
              </w:rPr>
            </w:pPr>
            <w:r>
              <w:rPr>
                <w:rFonts w:hint="eastAsia" w:ascii="宋体" w:hAnsi="宋体" w:eastAsia="宋体"/>
                <w:szCs w:val="21"/>
              </w:rPr>
              <w:t>持有公司股份5%以上的股东</w:t>
            </w:r>
          </w:p>
        </w:tc>
      </w:tr>
      <w:tr w14:paraId="0AB7494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93" w:type="dxa"/>
            <w:tcBorders>
              <w:top w:val="single" w:color="auto" w:sz="4" w:space="0"/>
              <w:left w:val="double" w:color="auto" w:sz="2" w:space="0"/>
              <w:bottom w:val="single" w:color="auto" w:sz="4" w:space="0"/>
              <w:right w:val="single" w:color="auto" w:sz="4" w:space="0"/>
            </w:tcBorders>
            <w:vAlign w:val="center"/>
          </w:tcPr>
          <w:p w14:paraId="7344C876">
            <w:pPr>
              <w:spacing w:line="240" w:lineRule="exact"/>
              <w:jc w:val="center"/>
              <w:rPr>
                <w:rFonts w:ascii="宋体" w:hAnsi="宋体" w:eastAsia="宋体"/>
                <w:szCs w:val="21"/>
              </w:rPr>
            </w:pPr>
            <w:r>
              <w:rPr>
                <w:rFonts w:hint="eastAsia" w:ascii="宋体" w:hAnsi="宋体" w:eastAsia="宋体"/>
                <w:szCs w:val="21"/>
              </w:rPr>
              <w:t>8</w:t>
            </w:r>
          </w:p>
        </w:tc>
        <w:tc>
          <w:tcPr>
            <w:tcW w:w="2037" w:type="dxa"/>
            <w:tcBorders>
              <w:top w:val="single" w:color="auto" w:sz="4" w:space="0"/>
              <w:left w:val="nil"/>
              <w:bottom w:val="single" w:color="auto" w:sz="4" w:space="0"/>
              <w:right w:val="single" w:color="auto" w:sz="4" w:space="0"/>
            </w:tcBorders>
            <w:vAlign w:val="center"/>
          </w:tcPr>
          <w:p w14:paraId="62591A80">
            <w:pPr>
              <w:spacing w:line="240" w:lineRule="exact"/>
              <w:jc w:val="left"/>
              <w:rPr>
                <w:rFonts w:ascii="宋体" w:hAnsi="宋体" w:eastAsia="宋体"/>
                <w:szCs w:val="21"/>
              </w:rPr>
            </w:pPr>
            <w:r>
              <w:rPr>
                <w:rFonts w:hint="eastAsia" w:ascii="宋体" w:hAnsi="宋体" w:eastAsia="宋体"/>
                <w:szCs w:val="21"/>
              </w:rPr>
              <w:t>安徽丰和农业有限公司</w:t>
            </w:r>
          </w:p>
        </w:tc>
        <w:tc>
          <w:tcPr>
            <w:tcW w:w="2571" w:type="dxa"/>
            <w:tcBorders>
              <w:top w:val="single" w:color="auto" w:sz="4" w:space="0"/>
              <w:left w:val="nil"/>
              <w:bottom w:val="single" w:color="auto" w:sz="4" w:space="0"/>
              <w:right w:val="single" w:color="auto" w:sz="4" w:space="0"/>
            </w:tcBorders>
            <w:vAlign w:val="center"/>
          </w:tcPr>
          <w:p w14:paraId="66E55496">
            <w:pPr>
              <w:spacing w:line="240" w:lineRule="exact"/>
              <w:jc w:val="left"/>
              <w:rPr>
                <w:rFonts w:ascii="宋体" w:hAnsi="宋体" w:eastAsia="宋体"/>
                <w:szCs w:val="21"/>
              </w:rPr>
            </w:pPr>
            <w:r>
              <w:rPr>
                <w:rFonts w:hint="eastAsia" w:ascii="宋体" w:hAnsi="宋体" w:eastAsia="宋体"/>
                <w:szCs w:val="21"/>
              </w:rPr>
              <w:t>其他有限责任公司</w:t>
            </w:r>
          </w:p>
        </w:tc>
        <w:tc>
          <w:tcPr>
            <w:tcW w:w="1469" w:type="dxa"/>
            <w:tcBorders>
              <w:top w:val="single" w:color="auto" w:sz="4" w:space="0"/>
              <w:left w:val="nil"/>
              <w:bottom w:val="single" w:color="auto" w:sz="4" w:space="0"/>
              <w:right w:val="single" w:color="auto" w:sz="4" w:space="0"/>
            </w:tcBorders>
            <w:vAlign w:val="center"/>
          </w:tcPr>
          <w:p w14:paraId="6DC4397B">
            <w:pPr>
              <w:spacing w:line="240" w:lineRule="exact"/>
              <w:jc w:val="center"/>
              <w:rPr>
                <w:rFonts w:ascii="宋体" w:hAnsi="宋体" w:eastAsia="宋体"/>
                <w:szCs w:val="21"/>
              </w:rPr>
            </w:pPr>
            <w:r>
              <w:rPr>
                <w:rFonts w:hint="eastAsia" w:ascii="宋体" w:hAnsi="宋体" w:eastAsia="宋体"/>
                <w:szCs w:val="21"/>
              </w:rPr>
              <w:t>魏建华</w:t>
            </w:r>
          </w:p>
        </w:tc>
        <w:tc>
          <w:tcPr>
            <w:tcW w:w="1841" w:type="dxa"/>
            <w:tcBorders>
              <w:top w:val="single" w:color="auto" w:sz="4" w:space="0"/>
              <w:left w:val="nil"/>
              <w:bottom w:val="single" w:color="auto" w:sz="4" w:space="0"/>
              <w:right w:val="single" w:color="auto" w:sz="4" w:space="0"/>
            </w:tcBorders>
            <w:vAlign w:val="center"/>
          </w:tcPr>
          <w:p w14:paraId="72F5097E">
            <w:pPr>
              <w:spacing w:line="240" w:lineRule="exact"/>
              <w:jc w:val="right"/>
              <w:rPr>
                <w:rFonts w:ascii="宋体" w:hAnsi="宋体" w:eastAsia="宋体"/>
                <w:szCs w:val="21"/>
              </w:rPr>
            </w:pPr>
            <w:r>
              <w:rPr>
                <w:rFonts w:hint="eastAsia" w:ascii="宋体" w:hAnsi="宋体" w:eastAsia="宋体"/>
                <w:szCs w:val="21"/>
                <w:shd w:val="clear" w:color="auto" w:fill="FFFFFF"/>
              </w:rPr>
              <w:t>1,817.1869</w:t>
            </w:r>
          </w:p>
        </w:tc>
        <w:tc>
          <w:tcPr>
            <w:tcW w:w="1981" w:type="dxa"/>
            <w:tcBorders>
              <w:top w:val="single" w:color="auto" w:sz="4" w:space="0"/>
              <w:left w:val="nil"/>
              <w:bottom w:val="single" w:color="auto" w:sz="4" w:space="0"/>
              <w:right w:val="single" w:color="auto" w:sz="4" w:space="0"/>
            </w:tcBorders>
            <w:vAlign w:val="center"/>
          </w:tcPr>
          <w:p w14:paraId="4FFC758F">
            <w:pPr>
              <w:spacing w:line="240" w:lineRule="exact"/>
              <w:jc w:val="left"/>
              <w:rPr>
                <w:rFonts w:ascii="宋体" w:hAnsi="宋体" w:eastAsia="宋体"/>
                <w:szCs w:val="21"/>
              </w:rPr>
            </w:pPr>
            <w:r>
              <w:rPr>
                <w:rFonts w:hint="eastAsia" w:ascii="宋体" w:hAnsi="宋体" w:eastAsia="宋体"/>
                <w:szCs w:val="21"/>
              </w:rPr>
              <w:t>安徽省淮北市幸福路11号</w:t>
            </w:r>
          </w:p>
        </w:tc>
        <w:tc>
          <w:tcPr>
            <w:tcW w:w="3959" w:type="dxa"/>
            <w:tcBorders>
              <w:top w:val="single" w:color="auto" w:sz="4" w:space="0"/>
              <w:left w:val="nil"/>
              <w:bottom w:val="single" w:color="auto" w:sz="4" w:space="0"/>
              <w:right w:val="single" w:color="auto" w:sz="4" w:space="0"/>
            </w:tcBorders>
            <w:vAlign w:val="center"/>
          </w:tcPr>
          <w:p w14:paraId="4651E26C">
            <w:pPr>
              <w:spacing w:line="240" w:lineRule="exact"/>
              <w:jc w:val="left"/>
              <w:rPr>
                <w:rFonts w:ascii="宋体" w:hAnsi="宋体" w:eastAsia="宋体"/>
                <w:szCs w:val="21"/>
              </w:rPr>
            </w:pPr>
            <w:r>
              <w:rPr>
                <w:rFonts w:hint="eastAsia" w:ascii="宋体" w:hAnsi="宋体" w:eastAsia="宋体"/>
                <w:szCs w:val="21"/>
              </w:rPr>
              <w:t>农产品种植销售；园林绿化工程设计、施工、养护管理等</w:t>
            </w:r>
            <w:r>
              <w:rPr>
                <w:rFonts w:ascii="宋体" w:hAnsi="宋体" w:eastAsia="宋体"/>
                <w:szCs w:val="21"/>
              </w:rPr>
              <w:t xml:space="preserve"> </w:t>
            </w:r>
          </w:p>
        </w:tc>
        <w:tc>
          <w:tcPr>
            <w:tcW w:w="1947" w:type="dxa"/>
            <w:tcBorders>
              <w:top w:val="single" w:color="auto" w:sz="4" w:space="0"/>
              <w:left w:val="nil"/>
              <w:bottom w:val="single" w:color="auto" w:sz="4" w:space="0"/>
              <w:right w:val="double" w:color="auto" w:sz="2" w:space="0"/>
            </w:tcBorders>
            <w:vAlign w:val="center"/>
          </w:tcPr>
          <w:p w14:paraId="060C462D">
            <w:pPr>
              <w:spacing w:line="240" w:lineRule="exact"/>
              <w:jc w:val="left"/>
              <w:rPr>
                <w:rFonts w:ascii="宋体" w:hAnsi="宋体" w:eastAsia="宋体"/>
                <w:szCs w:val="21"/>
              </w:rPr>
            </w:pPr>
            <w:r>
              <w:rPr>
                <w:rFonts w:hint="eastAsia" w:ascii="宋体" w:hAnsi="宋体" w:eastAsia="宋体"/>
                <w:szCs w:val="21"/>
              </w:rPr>
              <w:t>受母公司重大影响</w:t>
            </w:r>
          </w:p>
        </w:tc>
      </w:tr>
      <w:tr w14:paraId="507A574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double" w:color="auto" w:sz="2" w:space="0"/>
              <w:bottom w:val="single" w:color="auto" w:sz="4" w:space="0"/>
              <w:right w:val="single" w:color="auto" w:sz="4" w:space="0"/>
            </w:tcBorders>
            <w:vAlign w:val="center"/>
          </w:tcPr>
          <w:p w14:paraId="352E34B0">
            <w:pPr>
              <w:spacing w:line="240" w:lineRule="exact"/>
              <w:jc w:val="center"/>
              <w:rPr>
                <w:rFonts w:ascii="宋体" w:hAnsi="宋体" w:eastAsia="宋体"/>
                <w:szCs w:val="21"/>
              </w:rPr>
            </w:pPr>
            <w:r>
              <w:rPr>
                <w:rFonts w:hint="eastAsia" w:ascii="宋体" w:hAnsi="宋体" w:eastAsia="宋体"/>
                <w:szCs w:val="21"/>
              </w:rPr>
              <w:t>9</w:t>
            </w:r>
          </w:p>
        </w:tc>
        <w:tc>
          <w:tcPr>
            <w:tcW w:w="2037" w:type="dxa"/>
            <w:tcBorders>
              <w:top w:val="single" w:color="auto" w:sz="4" w:space="0"/>
              <w:left w:val="nil"/>
              <w:bottom w:val="single" w:color="auto" w:sz="4" w:space="0"/>
              <w:right w:val="single" w:color="auto" w:sz="4" w:space="0"/>
            </w:tcBorders>
            <w:vAlign w:val="center"/>
          </w:tcPr>
          <w:p w14:paraId="29A89CAE">
            <w:pPr>
              <w:spacing w:line="240" w:lineRule="exact"/>
              <w:jc w:val="left"/>
              <w:rPr>
                <w:rFonts w:ascii="宋体" w:hAnsi="宋体" w:eastAsia="宋体"/>
                <w:szCs w:val="21"/>
              </w:rPr>
            </w:pPr>
            <w:r>
              <w:rPr>
                <w:rFonts w:hint="eastAsia" w:ascii="宋体" w:hAnsi="宋体" w:eastAsia="宋体"/>
                <w:szCs w:val="21"/>
              </w:rPr>
              <w:t>安徽省安庆市曙光化工股份有限公司</w:t>
            </w:r>
          </w:p>
        </w:tc>
        <w:tc>
          <w:tcPr>
            <w:tcW w:w="2571" w:type="dxa"/>
            <w:tcBorders>
              <w:top w:val="single" w:color="auto" w:sz="4" w:space="0"/>
              <w:left w:val="nil"/>
              <w:bottom w:val="single" w:color="auto" w:sz="4" w:space="0"/>
              <w:right w:val="single" w:color="auto" w:sz="4" w:space="0"/>
            </w:tcBorders>
            <w:vAlign w:val="center"/>
          </w:tcPr>
          <w:p w14:paraId="040DD06B">
            <w:pPr>
              <w:spacing w:line="240" w:lineRule="exact"/>
              <w:jc w:val="left"/>
              <w:rPr>
                <w:rFonts w:ascii="宋体" w:hAnsi="宋体" w:eastAsia="宋体"/>
                <w:szCs w:val="21"/>
              </w:rPr>
            </w:pPr>
            <w:r>
              <w:rPr>
                <w:rFonts w:hint="eastAsia" w:ascii="宋体" w:hAnsi="宋体" w:eastAsia="宋体"/>
                <w:szCs w:val="21"/>
              </w:rPr>
              <w:t>其他股份有限公司(非上市)</w:t>
            </w:r>
          </w:p>
        </w:tc>
        <w:tc>
          <w:tcPr>
            <w:tcW w:w="1469" w:type="dxa"/>
            <w:tcBorders>
              <w:top w:val="single" w:color="auto" w:sz="4" w:space="0"/>
              <w:left w:val="nil"/>
              <w:bottom w:val="single" w:color="auto" w:sz="4" w:space="0"/>
              <w:right w:val="single" w:color="auto" w:sz="4" w:space="0"/>
            </w:tcBorders>
            <w:vAlign w:val="center"/>
          </w:tcPr>
          <w:p w14:paraId="3EC66887">
            <w:pPr>
              <w:spacing w:line="240" w:lineRule="exact"/>
              <w:jc w:val="center"/>
              <w:rPr>
                <w:rFonts w:ascii="宋体" w:hAnsi="宋体" w:eastAsia="宋体"/>
                <w:szCs w:val="21"/>
              </w:rPr>
            </w:pPr>
            <w:r>
              <w:fldChar w:fldCharType="begin"/>
            </w:r>
            <w:r>
              <w:instrText xml:space="preserve"> HYPERLINK "https://aiqicha.baidu.com/person?personId=00646439f096132ad6b17b6c9ed33caf&amp;entry=2115" </w:instrText>
            </w:r>
            <w:r>
              <w:fldChar w:fldCharType="separate"/>
            </w:r>
            <w:r>
              <w:rPr>
                <w:rFonts w:hint="eastAsia" w:ascii="宋体" w:hAnsi="宋体" w:eastAsia="宋体"/>
                <w:szCs w:val="21"/>
              </w:rPr>
              <w:t>陈长斌</w:t>
            </w:r>
            <w:r>
              <w:rPr>
                <w:rFonts w:hint="eastAsia" w:ascii="宋体" w:hAnsi="宋体" w:eastAsia="宋体"/>
                <w:szCs w:val="21"/>
              </w:rPr>
              <w:fldChar w:fldCharType="end"/>
            </w:r>
          </w:p>
        </w:tc>
        <w:tc>
          <w:tcPr>
            <w:tcW w:w="1841" w:type="dxa"/>
            <w:tcBorders>
              <w:top w:val="single" w:color="auto" w:sz="4" w:space="0"/>
              <w:left w:val="nil"/>
              <w:bottom w:val="single" w:color="auto" w:sz="4" w:space="0"/>
              <w:right w:val="single" w:color="auto" w:sz="4" w:space="0"/>
            </w:tcBorders>
            <w:vAlign w:val="center"/>
          </w:tcPr>
          <w:p w14:paraId="0401FD6C">
            <w:pPr>
              <w:spacing w:line="240" w:lineRule="exact"/>
              <w:jc w:val="right"/>
              <w:rPr>
                <w:rFonts w:ascii="宋体" w:hAnsi="宋体" w:eastAsia="宋体"/>
                <w:szCs w:val="21"/>
              </w:rPr>
            </w:pPr>
            <w:r>
              <w:rPr>
                <w:rFonts w:hint="eastAsia" w:ascii="宋体" w:hAnsi="宋体" w:eastAsia="宋体"/>
                <w:szCs w:val="21"/>
              </w:rPr>
              <w:t>61,224.49</w:t>
            </w:r>
          </w:p>
        </w:tc>
        <w:tc>
          <w:tcPr>
            <w:tcW w:w="1981" w:type="dxa"/>
            <w:tcBorders>
              <w:top w:val="single" w:color="auto" w:sz="4" w:space="0"/>
              <w:left w:val="nil"/>
              <w:bottom w:val="single" w:color="auto" w:sz="4" w:space="0"/>
              <w:right w:val="single" w:color="auto" w:sz="4" w:space="0"/>
            </w:tcBorders>
            <w:vAlign w:val="center"/>
          </w:tcPr>
          <w:p w14:paraId="079F4905">
            <w:pPr>
              <w:spacing w:line="240" w:lineRule="exact"/>
              <w:jc w:val="left"/>
              <w:rPr>
                <w:rFonts w:ascii="宋体" w:hAnsi="宋体" w:eastAsia="宋体"/>
                <w:szCs w:val="21"/>
              </w:rPr>
            </w:pPr>
            <w:r>
              <w:rPr>
                <w:rFonts w:hint="eastAsia" w:ascii="宋体" w:hAnsi="宋体" w:eastAsia="宋体"/>
                <w:szCs w:val="21"/>
              </w:rPr>
              <w:t>安徽省安庆市腈北路47号</w:t>
            </w:r>
          </w:p>
        </w:tc>
        <w:tc>
          <w:tcPr>
            <w:tcW w:w="3959" w:type="dxa"/>
            <w:tcBorders>
              <w:top w:val="single" w:color="auto" w:sz="4" w:space="0"/>
              <w:left w:val="nil"/>
              <w:bottom w:val="single" w:color="auto" w:sz="4" w:space="0"/>
              <w:right w:val="single" w:color="auto" w:sz="4" w:space="0"/>
            </w:tcBorders>
            <w:vAlign w:val="center"/>
          </w:tcPr>
          <w:p w14:paraId="7FA45EBA">
            <w:pPr>
              <w:spacing w:line="240" w:lineRule="exact"/>
              <w:jc w:val="left"/>
              <w:rPr>
                <w:rFonts w:ascii="宋体" w:hAnsi="宋体" w:eastAsia="宋体"/>
                <w:szCs w:val="21"/>
              </w:rPr>
            </w:pPr>
            <w:r>
              <w:rPr>
                <w:rFonts w:hint="eastAsia" w:ascii="宋体" w:hAnsi="宋体" w:eastAsia="宋体"/>
                <w:szCs w:val="21"/>
              </w:rPr>
              <w:t>生产和销售自产的氰化钠、氰化钾、氢气和相关产品；电力、热力（蒸汽）、工业用水、煤灰（渣）的生产和销售。</w:t>
            </w:r>
          </w:p>
        </w:tc>
        <w:tc>
          <w:tcPr>
            <w:tcW w:w="1947" w:type="dxa"/>
            <w:tcBorders>
              <w:top w:val="single" w:color="auto" w:sz="4" w:space="0"/>
              <w:left w:val="nil"/>
              <w:bottom w:val="single" w:color="auto" w:sz="4" w:space="0"/>
              <w:right w:val="double" w:color="auto" w:sz="2" w:space="0"/>
            </w:tcBorders>
            <w:vAlign w:val="center"/>
          </w:tcPr>
          <w:p w14:paraId="3EB48FC4">
            <w:pPr>
              <w:spacing w:line="240" w:lineRule="exact"/>
              <w:jc w:val="left"/>
              <w:rPr>
                <w:rFonts w:ascii="宋体" w:hAnsi="宋体" w:eastAsia="宋体"/>
                <w:szCs w:val="21"/>
              </w:rPr>
            </w:pPr>
            <w:r>
              <w:rPr>
                <w:rFonts w:hint="eastAsia" w:ascii="宋体" w:hAnsi="宋体" w:eastAsia="宋体"/>
                <w:szCs w:val="21"/>
              </w:rPr>
              <w:t>过去12个月内存在公司董事为该公司董事</w:t>
            </w:r>
          </w:p>
        </w:tc>
      </w:tr>
      <w:tr w14:paraId="323633D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double" w:color="auto" w:sz="2" w:space="0"/>
              <w:bottom w:val="single" w:color="auto" w:sz="4" w:space="0"/>
              <w:right w:val="single" w:color="auto" w:sz="4" w:space="0"/>
            </w:tcBorders>
            <w:vAlign w:val="center"/>
          </w:tcPr>
          <w:p w14:paraId="6AC15C78">
            <w:pPr>
              <w:spacing w:line="240" w:lineRule="exact"/>
              <w:jc w:val="center"/>
              <w:rPr>
                <w:rFonts w:ascii="宋体" w:hAnsi="宋体" w:eastAsia="宋体"/>
                <w:szCs w:val="21"/>
              </w:rPr>
            </w:pPr>
            <w:r>
              <w:rPr>
                <w:rFonts w:hint="eastAsia" w:ascii="宋体" w:hAnsi="宋体" w:eastAsia="宋体"/>
                <w:szCs w:val="21"/>
              </w:rPr>
              <w:t>1</w:t>
            </w:r>
            <w:r>
              <w:rPr>
                <w:rFonts w:ascii="宋体" w:hAnsi="宋体" w:eastAsia="宋体"/>
                <w:szCs w:val="21"/>
              </w:rPr>
              <w:t>0</w:t>
            </w:r>
          </w:p>
        </w:tc>
        <w:tc>
          <w:tcPr>
            <w:tcW w:w="2037" w:type="dxa"/>
            <w:tcBorders>
              <w:top w:val="single" w:color="auto" w:sz="4" w:space="0"/>
              <w:left w:val="nil"/>
              <w:bottom w:val="single" w:color="auto" w:sz="4" w:space="0"/>
              <w:right w:val="single" w:color="auto" w:sz="4" w:space="0"/>
            </w:tcBorders>
            <w:vAlign w:val="center"/>
          </w:tcPr>
          <w:p w14:paraId="18120AA7">
            <w:pPr>
              <w:spacing w:line="240" w:lineRule="exact"/>
              <w:jc w:val="left"/>
              <w:rPr>
                <w:rFonts w:ascii="宋体" w:hAnsi="宋体" w:eastAsia="宋体"/>
                <w:szCs w:val="21"/>
              </w:rPr>
            </w:pPr>
            <w:r>
              <w:rPr>
                <w:rFonts w:hint="eastAsia" w:ascii="宋体" w:hAnsi="宋体" w:eastAsia="宋体"/>
                <w:szCs w:val="21"/>
              </w:rPr>
              <w:t>淮北矿业集团（滁州）华塑物流有限公司</w:t>
            </w:r>
          </w:p>
        </w:tc>
        <w:tc>
          <w:tcPr>
            <w:tcW w:w="2571" w:type="dxa"/>
            <w:tcBorders>
              <w:top w:val="single" w:color="auto" w:sz="4" w:space="0"/>
              <w:left w:val="nil"/>
              <w:bottom w:val="single" w:color="auto" w:sz="4" w:space="0"/>
              <w:right w:val="single" w:color="auto" w:sz="4" w:space="0"/>
            </w:tcBorders>
            <w:vAlign w:val="center"/>
          </w:tcPr>
          <w:p w14:paraId="035C965D">
            <w:pPr>
              <w:spacing w:line="240" w:lineRule="exact"/>
              <w:jc w:val="left"/>
              <w:rPr>
                <w:rFonts w:ascii="宋体" w:hAnsi="宋体" w:eastAsia="宋体"/>
                <w:szCs w:val="21"/>
              </w:rPr>
            </w:pPr>
            <w:r>
              <w:rPr>
                <w:rFonts w:hint="eastAsia" w:ascii="宋体" w:hAnsi="宋体" w:eastAsia="宋体"/>
                <w:color w:val="333333"/>
                <w:szCs w:val="21"/>
                <w:shd w:val="clear" w:color="auto" w:fill="FFFFFF"/>
              </w:rPr>
              <w:t>有限责任公司（国有独资）</w:t>
            </w:r>
          </w:p>
        </w:tc>
        <w:tc>
          <w:tcPr>
            <w:tcW w:w="1469" w:type="dxa"/>
            <w:tcBorders>
              <w:top w:val="single" w:color="auto" w:sz="4" w:space="0"/>
              <w:left w:val="nil"/>
              <w:bottom w:val="single" w:color="auto" w:sz="4" w:space="0"/>
              <w:right w:val="single" w:color="auto" w:sz="4" w:space="0"/>
            </w:tcBorders>
            <w:vAlign w:val="center"/>
          </w:tcPr>
          <w:p w14:paraId="172B2934">
            <w:pPr>
              <w:spacing w:line="240" w:lineRule="exact"/>
              <w:jc w:val="center"/>
              <w:rPr>
                <w:rFonts w:ascii="宋体" w:hAnsi="宋体" w:eastAsia="宋体"/>
                <w:szCs w:val="21"/>
              </w:rPr>
            </w:pPr>
            <w:r>
              <w:fldChar w:fldCharType="begin"/>
            </w:r>
            <w:r>
              <w:instrText xml:space="preserve"> HYPERLINK "https://www.qcc.com/pl/p918326a77a141f72d913589cc83885c.html" \t "_blank" </w:instrText>
            </w:r>
            <w:r>
              <w:fldChar w:fldCharType="separate"/>
            </w:r>
            <w:r>
              <w:rPr>
                <w:rFonts w:hint="eastAsia" w:ascii="宋体" w:hAnsi="宋体" w:eastAsia="宋体"/>
                <w:szCs w:val="21"/>
              </w:rPr>
              <w:t>张道春</w:t>
            </w:r>
            <w:r>
              <w:rPr>
                <w:rFonts w:hint="eastAsia" w:ascii="宋体" w:hAnsi="宋体" w:eastAsia="宋体"/>
                <w:szCs w:val="21"/>
              </w:rPr>
              <w:fldChar w:fldCharType="end"/>
            </w:r>
          </w:p>
        </w:tc>
        <w:tc>
          <w:tcPr>
            <w:tcW w:w="1841" w:type="dxa"/>
            <w:tcBorders>
              <w:top w:val="single" w:color="auto" w:sz="4" w:space="0"/>
              <w:left w:val="nil"/>
              <w:bottom w:val="single" w:color="auto" w:sz="4" w:space="0"/>
              <w:right w:val="single" w:color="auto" w:sz="4" w:space="0"/>
            </w:tcBorders>
            <w:vAlign w:val="center"/>
          </w:tcPr>
          <w:p w14:paraId="18FF4168">
            <w:pPr>
              <w:spacing w:line="240" w:lineRule="exact"/>
              <w:jc w:val="right"/>
              <w:rPr>
                <w:rFonts w:ascii="宋体" w:hAnsi="宋体" w:eastAsia="宋体"/>
                <w:szCs w:val="21"/>
              </w:rPr>
            </w:pPr>
            <w:r>
              <w:rPr>
                <w:rFonts w:hint="eastAsia" w:ascii="宋体" w:hAnsi="宋体" w:eastAsia="宋体"/>
                <w:color w:val="333333"/>
                <w:szCs w:val="21"/>
                <w:shd w:val="clear" w:color="auto" w:fill="FFFFFF"/>
              </w:rPr>
              <w:t>19,000</w:t>
            </w:r>
          </w:p>
        </w:tc>
        <w:tc>
          <w:tcPr>
            <w:tcW w:w="1981" w:type="dxa"/>
            <w:tcBorders>
              <w:top w:val="single" w:color="auto" w:sz="4" w:space="0"/>
              <w:left w:val="nil"/>
              <w:bottom w:val="single" w:color="auto" w:sz="4" w:space="0"/>
              <w:right w:val="single" w:color="auto" w:sz="4" w:space="0"/>
            </w:tcBorders>
            <w:vAlign w:val="center"/>
          </w:tcPr>
          <w:p w14:paraId="77F841E4">
            <w:pPr>
              <w:spacing w:line="240" w:lineRule="exact"/>
              <w:jc w:val="left"/>
              <w:rPr>
                <w:rFonts w:ascii="宋体" w:hAnsi="宋体" w:eastAsia="宋体"/>
                <w:szCs w:val="21"/>
              </w:rPr>
            </w:pPr>
            <w:r>
              <w:rPr>
                <w:rFonts w:ascii="宋体" w:hAnsi="宋体" w:eastAsia="宋体"/>
                <w:szCs w:val="21"/>
              </w:rPr>
              <w:t>安徽省滁州市定远县盐化工业园内</w:t>
            </w:r>
          </w:p>
        </w:tc>
        <w:tc>
          <w:tcPr>
            <w:tcW w:w="3959" w:type="dxa"/>
            <w:tcBorders>
              <w:top w:val="single" w:color="auto" w:sz="4" w:space="0"/>
              <w:left w:val="nil"/>
              <w:bottom w:val="single" w:color="auto" w:sz="4" w:space="0"/>
              <w:right w:val="single" w:color="auto" w:sz="4" w:space="0"/>
            </w:tcBorders>
            <w:vAlign w:val="center"/>
          </w:tcPr>
          <w:p w14:paraId="09B4598C">
            <w:pPr>
              <w:spacing w:line="240" w:lineRule="exact"/>
              <w:jc w:val="left"/>
              <w:rPr>
                <w:rFonts w:ascii="宋体" w:hAnsi="宋体" w:eastAsia="宋体"/>
                <w:szCs w:val="21"/>
              </w:rPr>
            </w:pPr>
            <w:r>
              <w:rPr>
                <w:rFonts w:hint="eastAsia" w:ascii="宋体" w:hAnsi="宋体" w:eastAsia="宋体"/>
                <w:szCs w:val="21"/>
              </w:rPr>
              <w:t>公共铁路运输；道路货物运输、化工石油等产品销售</w:t>
            </w:r>
          </w:p>
        </w:tc>
        <w:tc>
          <w:tcPr>
            <w:tcW w:w="1947" w:type="dxa"/>
            <w:tcBorders>
              <w:top w:val="single" w:color="auto" w:sz="4" w:space="0"/>
              <w:left w:val="nil"/>
              <w:bottom w:val="single" w:color="auto" w:sz="4" w:space="0"/>
              <w:right w:val="double" w:color="auto" w:sz="2" w:space="0"/>
            </w:tcBorders>
            <w:vAlign w:val="center"/>
          </w:tcPr>
          <w:p w14:paraId="43478994">
            <w:pPr>
              <w:spacing w:line="240" w:lineRule="exact"/>
              <w:jc w:val="left"/>
              <w:rPr>
                <w:rFonts w:ascii="宋体" w:hAnsi="宋体" w:eastAsia="宋体"/>
                <w:szCs w:val="21"/>
              </w:rPr>
            </w:pPr>
            <w:r>
              <w:rPr>
                <w:rFonts w:hint="eastAsia" w:ascii="宋体" w:hAnsi="宋体" w:eastAsia="宋体"/>
                <w:szCs w:val="21"/>
              </w:rPr>
              <w:t>同受母公司控制</w:t>
            </w:r>
          </w:p>
        </w:tc>
      </w:tr>
      <w:tr w14:paraId="27519FD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93" w:type="dxa"/>
            <w:tcBorders>
              <w:top w:val="single" w:color="auto" w:sz="4" w:space="0"/>
              <w:left w:val="double" w:color="auto" w:sz="2" w:space="0"/>
              <w:bottom w:val="single" w:color="auto" w:sz="4" w:space="0"/>
              <w:right w:val="single" w:color="auto" w:sz="4" w:space="0"/>
            </w:tcBorders>
            <w:shd w:val="clear" w:color="auto" w:fill="auto"/>
            <w:vAlign w:val="center"/>
          </w:tcPr>
          <w:p w14:paraId="01ACC566">
            <w:pPr>
              <w:spacing w:line="240" w:lineRule="exact"/>
              <w:jc w:val="center"/>
              <w:rPr>
                <w:rFonts w:ascii="宋体" w:hAnsi="宋体" w:eastAsia="宋体"/>
                <w:szCs w:val="21"/>
              </w:rPr>
            </w:pPr>
            <w:r>
              <w:rPr>
                <w:rFonts w:hint="eastAsia" w:ascii="宋体" w:hAnsi="宋体" w:eastAsia="宋体"/>
                <w:szCs w:val="21"/>
              </w:rPr>
              <w:t>1</w:t>
            </w:r>
            <w:r>
              <w:rPr>
                <w:rFonts w:ascii="宋体" w:hAnsi="宋体" w:eastAsia="宋体"/>
                <w:szCs w:val="21"/>
              </w:rPr>
              <w:t>1</w:t>
            </w:r>
          </w:p>
        </w:tc>
        <w:tc>
          <w:tcPr>
            <w:tcW w:w="2037" w:type="dxa"/>
            <w:tcBorders>
              <w:top w:val="single" w:color="auto" w:sz="4" w:space="0"/>
              <w:left w:val="nil"/>
              <w:bottom w:val="single" w:color="auto" w:sz="4" w:space="0"/>
              <w:right w:val="single" w:color="auto" w:sz="4" w:space="0"/>
            </w:tcBorders>
            <w:shd w:val="clear" w:color="auto" w:fill="auto"/>
            <w:vAlign w:val="center"/>
          </w:tcPr>
          <w:p w14:paraId="001386B2">
            <w:pPr>
              <w:spacing w:line="240" w:lineRule="exact"/>
              <w:jc w:val="left"/>
              <w:rPr>
                <w:rFonts w:ascii="宋体" w:hAnsi="宋体" w:eastAsia="宋体"/>
                <w:szCs w:val="21"/>
              </w:rPr>
            </w:pPr>
            <w:r>
              <w:rPr>
                <w:rFonts w:hint="eastAsia" w:ascii="宋体" w:hAnsi="宋体" w:eastAsia="宋体"/>
                <w:szCs w:val="21"/>
              </w:rPr>
              <w:t>淮北矿业集团大榭能源化工有限公司</w:t>
            </w:r>
          </w:p>
        </w:tc>
        <w:tc>
          <w:tcPr>
            <w:tcW w:w="2571" w:type="dxa"/>
            <w:tcBorders>
              <w:top w:val="single" w:color="auto" w:sz="4" w:space="0"/>
              <w:left w:val="nil"/>
              <w:bottom w:val="single" w:color="auto" w:sz="4" w:space="0"/>
              <w:right w:val="single" w:color="auto" w:sz="4" w:space="0"/>
            </w:tcBorders>
            <w:shd w:val="clear" w:color="auto" w:fill="auto"/>
            <w:vAlign w:val="center"/>
          </w:tcPr>
          <w:p w14:paraId="46C90087">
            <w:pPr>
              <w:spacing w:line="240" w:lineRule="exact"/>
              <w:jc w:val="left"/>
              <w:rPr>
                <w:rFonts w:ascii="宋体" w:hAnsi="宋体" w:eastAsia="宋体"/>
                <w:szCs w:val="21"/>
              </w:rPr>
            </w:pPr>
            <w:r>
              <w:rPr>
                <w:rFonts w:hint="eastAsia" w:ascii="宋体" w:hAnsi="宋体" w:eastAsia="宋体"/>
                <w:szCs w:val="21"/>
              </w:rPr>
              <w:t>其他有限责任公司</w:t>
            </w:r>
          </w:p>
        </w:tc>
        <w:tc>
          <w:tcPr>
            <w:tcW w:w="1469" w:type="dxa"/>
            <w:tcBorders>
              <w:top w:val="single" w:color="auto" w:sz="4" w:space="0"/>
              <w:left w:val="nil"/>
              <w:bottom w:val="single" w:color="auto" w:sz="4" w:space="0"/>
              <w:right w:val="single" w:color="auto" w:sz="4" w:space="0"/>
            </w:tcBorders>
            <w:shd w:val="clear" w:color="auto" w:fill="auto"/>
            <w:vAlign w:val="center"/>
          </w:tcPr>
          <w:p w14:paraId="53E869FC">
            <w:pPr>
              <w:spacing w:line="240" w:lineRule="exact"/>
              <w:jc w:val="center"/>
              <w:rPr>
                <w:rFonts w:ascii="宋体" w:hAnsi="宋体" w:eastAsia="宋体"/>
                <w:szCs w:val="21"/>
              </w:rPr>
            </w:pPr>
            <w:r>
              <w:fldChar w:fldCharType="begin"/>
            </w:r>
            <w:r>
              <w:instrText xml:space="preserve"> HYPERLINK "https://www.qcc.com/pl/p9e1582697cc15606113245010c86a6f.html" \t "_blank" </w:instrText>
            </w:r>
            <w:r>
              <w:fldChar w:fldCharType="separate"/>
            </w:r>
            <w:r>
              <w:rPr>
                <w:rFonts w:hint="eastAsia" w:ascii="宋体" w:hAnsi="宋体" w:eastAsia="宋体"/>
                <w:szCs w:val="21"/>
              </w:rPr>
              <w:t>吴义文</w:t>
            </w:r>
            <w:r>
              <w:rPr>
                <w:rFonts w:hint="eastAsia" w:ascii="宋体" w:hAnsi="宋体" w:eastAsia="宋体"/>
                <w:szCs w:val="21"/>
              </w:rPr>
              <w:fldChar w:fldCharType="end"/>
            </w:r>
          </w:p>
        </w:tc>
        <w:tc>
          <w:tcPr>
            <w:tcW w:w="1841" w:type="dxa"/>
            <w:tcBorders>
              <w:top w:val="single" w:color="auto" w:sz="4" w:space="0"/>
              <w:left w:val="nil"/>
              <w:bottom w:val="single" w:color="auto" w:sz="4" w:space="0"/>
              <w:right w:val="single" w:color="auto" w:sz="4" w:space="0"/>
            </w:tcBorders>
            <w:shd w:val="clear" w:color="auto" w:fill="auto"/>
            <w:vAlign w:val="center"/>
          </w:tcPr>
          <w:p w14:paraId="1CF5A779">
            <w:pPr>
              <w:spacing w:line="240" w:lineRule="exact"/>
              <w:jc w:val="right"/>
              <w:rPr>
                <w:rFonts w:ascii="宋体" w:hAnsi="宋体" w:eastAsia="宋体"/>
                <w:szCs w:val="21"/>
              </w:rPr>
            </w:pPr>
            <w:r>
              <w:rPr>
                <w:rFonts w:hint="eastAsia" w:ascii="宋体" w:hAnsi="宋体" w:eastAsia="宋体"/>
                <w:szCs w:val="21"/>
              </w:rPr>
              <w:t>3</w:t>
            </w:r>
            <w:r>
              <w:rPr>
                <w:rFonts w:ascii="宋体" w:hAnsi="宋体" w:eastAsia="宋体"/>
                <w:szCs w:val="21"/>
              </w:rPr>
              <w:t>0,000.00</w:t>
            </w:r>
          </w:p>
        </w:tc>
        <w:tc>
          <w:tcPr>
            <w:tcW w:w="1981" w:type="dxa"/>
            <w:tcBorders>
              <w:top w:val="single" w:color="auto" w:sz="4" w:space="0"/>
              <w:left w:val="nil"/>
              <w:bottom w:val="single" w:color="auto" w:sz="4" w:space="0"/>
              <w:right w:val="single" w:color="auto" w:sz="4" w:space="0"/>
            </w:tcBorders>
            <w:shd w:val="clear" w:color="auto" w:fill="auto"/>
            <w:vAlign w:val="center"/>
          </w:tcPr>
          <w:p w14:paraId="01EBC192">
            <w:pPr>
              <w:spacing w:line="240" w:lineRule="exact"/>
              <w:jc w:val="left"/>
              <w:rPr>
                <w:rFonts w:ascii="宋体" w:hAnsi="宋体" w:eastAsia="宋体"/>
                <w:szCs w:val="21"/>
              </w:rPr>
            </w:pPr>
            <w:r>
              <w:rPr>
                <w:rFonts w:hint="eastAsia" w:ascii="宋体" w:hAnsi="宋体" w:eastAsia="宋体"/>
                <w:szCs w:val="21"/>
              </w:rPr>
              <w:t>浙江省宁波市北仑区大榭街道滨海南路</w:t>
            </w:r>
            <w:r>
              <w:rPr>
                <w:rFonts w:ascii="宋体" w:hAnsi="宋体" w:eastAsia="宋体"/>
                <w:szCs w:val="21"/>
              </w:rPr>
              <w:t>111号西楼412室</w:t>
            </w:r>
          </w:p>
        </w:tc>
        <w:tc>
          <w:tcPr>
            <w:tcW w:w="3959" w:type="dxa"/>
            <w:tcBorders>
              <w:top w:val="single" w:color="auto" w:sz="4" w:space="0"/>
              <w:left w:val="nil"/>
              <w:bottom w:val="single" w:color="auto" w:sz="4" w:space="0"/>
              <w:right w:val="single" w:color="auto" w:sz="4" w:space="0"/>
            </w:tcBorders>
            <w:shd w:val="clear" w:color="auto" w:fill="auto"/>
            <w:vAlign w:val="center"/>
          </w:tcPr>
          <w:p w14:paraId="2BEC6A17">
            <w:pPr>
              <w:spacing w:line="240" w:lineRule="exact"/>
              <w:jc w:val="left"/>
              <w:rPr>
                <w:rFonts w:ascii="宋体" w:hAnsi="宋体" w:eastAsia="宋体"/>
                <w:szCs w:val="21"/>
              </w:rPr>
            </w:pPr>
            <w:r>
              <w:rPr>
                <w:rFonts w:hint="eastAsia" w:ascii="宋体" w:hAnsi="宋体" w:eastAsia="宋体"/>
                <w:szCs w:val="21"/>
              </w:rPr>
              <w:t>煤炭及化工原料贸易等</w:t>
            </w:r>
          </w:p>
        </w:tc>
        <w:tc>
          <w:tcPr>
            <w:tcW w:w="1947" w:type="dxa"/>
            <w:tcBorders>
              <w:top w:val="single" w:color="auto" w:sz="4" w:space="0"/>
              <w:left w:val="nil"/>
              <w:bottom w:val="single" w:color="auto" w:sz="4" w:space="0"/>
              <w:right w:val="double" w:color="auto" w:sz="2" w:space="0"/>
            </w:tcBorders>
            <w:shd w:val="clear" w:color="auto" w:fill="auto"/>
            <w:vAlign w:val="center"/>
          </w:tcPr>
          <w:p w14:paraId="42AFE159">
            <w:pPr>
              <w:spacing w:line="240" w:lineRule="exact"/>
              <w:jc w:val="left"/>
              <w:rPr>
                <w:rFonts w:ascii="宋体" w:hAnsi="宋体" w:eastAsia="宋体"/>
                <w:szCs w:val="21"/>
              </w:rPr>
            </w:pPr>
            <w:r>
              <w:rPr>
                <w:rFonts w:hint="eastAsia" w:ascii="宋体" w:hAnsi="宋体" w:eastAsia="宋体"/>
                <w:szCs w:val="21"/>
              </w:rPr>
              <w:t>同受母公司控制</w:t>
            </w:r>
          </w:p>
        </w:tc>
      </w:tr>
      <w:tr w14:paraId="65BCF2D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93" w:type="dxa"/>
            <w:tcBorders>
              <w:top w:val="single" w:color="auto" w:sz="4" w:space="0"/>
              <w:left w:val="double" w:color="auto" w:sz="2" w:space="0"/>
              <w:bottom w:val="single" w:color="auto" w:sz="4" w:space="0"/>
              <w:right w:val="single" w:color="auto" w:sz="4" w:space="0"/>
            </w:tcBorders>
            <w:shd w:val="clear" w:color="auto" w:fill="auto"/>
            <w:vAlign w:val="center"/>
          </w:tcPr>
          <w:p w14:paraId="0A9FC41E">
            <w:pPr>
              <w:spacing w:line="240" w:lineRule="exact"/>
              <w:jc w:val="center"/>
              <w:rPr>
                <w:rFonts w:ascii="宋体" w:hAnsi="宋体" w:eastAsia="宋体"/>
                <w:szCs w:val="21"/>
              </w:rPr>
            </w:pPr>
            <w:r>
              <w:rPr>
                <w:rFonts w:hint="eastAsia" w:ascii="宋体" w:hAnsi="宋体" w:eastAsia="宋体"/>
                <w:szCs w:val="21"/>
              </w:rPr>
              <w:t>12</w:t>
            </w:r>
          </w:p>
        </w:tc>
        <w:tc>
          <w:tcPr>
            <w:tcW w:w="2037" w:type="dxa"/>
            <w:tcBorders>
              <w:top w:val="single" w:color="auto" w:sz="4" w:space="0"/>
              <w:left w:val="nil"/>
              <w:bottom w:val="single" w:color="auto" w:sz="4" w:space="0"/>
              <w:right w:val="single" w:color="auto" w:sz="4" w:space="0"/>
            </w:tcBorders>
            <w:shd w:val="clear" w:color="auto" w:fill="auto"/>
            <w:vAlign w:val="center"/>
          </w:tcPr>
          <w:p w14:paraId="04C09664">
            <w:pPr>
              <w:spacing w:line="240" w:lineRule="exact"/>
              <w:jc w:val="right"/>
              <w:rPr>
                <w:rFonts w:ascii="宋体" w:hAnsi="宋体" w:eastAsia="宋体"/>
                <w:szCs w:val="21"/>
              </w:rPr>
            </w:pPr>
            <w:r>
              <w:rPr>
                <w:rFonts w:hint="eastAsia" w:ascii="宋体" w:hAnsi="宋体" w:eastAsia="宋体"/>
                <w:szCs w:val="21"/>
              </w:rPr>
              <w:t>淮北矿业信盛国际贸易有限责任公司</w:t>
            </w:r>
          </w:p>
        </w:tc>
        <w:tc>
          <w:tcPr>
            <w:tcW w:w="2571" w:type="dxa"/>
            <w:tcBorders>
              <w:top w:val="single" w:color="auto" w:sz="4" w:space="0"/>
              <w:left w:val="nil"/>
              <w:bottom w:val="single" w:color="auto" w:sz="4" w:space="0"/>
              <w:right w:val="single" w:color="auto" w:sz="4" w:space="0"/>
            </w:tcBorders>
            <w:shd w:val="clear" w:color="auto" w:fill="auto"/>
            <w:vAlign w:val="center"/>
          </w:tcPr>
          <w:p w14:paraId="0A2406AF">
            <w:pPr>
              <w:spacing w:line="240" w:lineRule="exact"/>
              <w:rPr>
                <w:rFonts w:ascii="宋体" w:hAnsi="宋体" w:eastAsia="宋体"/>
                <w:szCs w:val="21"/>
              </w:rPr>
            </w:pPr>
            <w:r>
              <w:rPr>
                <w:rFonts w:hint="eastAsia" w:ascii="宋体" w:hAnsi="宋体" w:eastAsia="宋体"/>
                <w:szCs w:val="21"/>
              </w:rPr>
              <w:t>有限责任公司（非自然人投资或控股的法人独资）</w:t>
            </w:r>
          </w:p>
        </w:tc>
        <w:tc>
          <w:tcPr>
            <w:tcW w:w="1469" w:type="dxa"/>
            <w:tcBorders>
              <w:top w:val="single" w:color="auto" w:sz="4" w:space="0"/>
              <w:left w:val="nil"/>
              <w:bottom w:val="single" w:color="auto" w:sz="4" w:space="0"/>
              <w:right w:val="single" w:color="auto" w:sz="4" w:space="0"/>
            </w:tcBorders>
            <w:shd w:val="clear" w:color="auto" w:fill="auto"/>
            <w:vAlign w:val="center"/>
          </w:tcPr>
          <w:p w14:paraId="0BBFA958">
            <w:pPr>
              <w:spacing w:line="240" w:lineRule="exact"/>
              <w:jc w:val="center"/>
              <w:rPr>
                <w:rFonts w:ascii="宋体" w:hAnsi="宋体" w:eastAsia="宋体"/>
                <w:szCs w:val="21"/>
              </w:rPr>
            </w:pPr>
            <w:r>
              <w:rPr>
                <w:rFonts w:hint="eastAsia" w:ascii="宋体" w:hAnsi="宋体" w:eastAsia="宋体"/>
                <w:szCs w:val="21"/>
              </w:rPr>
              <w:t>李伟</w:t>
            </w:r>
          </w:p>
        </w:tc>
        <w:tc>
          <w:tcPr>
            <w:tcW w:w="1841" w:type="dxa"/>
            <w:tcBorders>
              <w:top w:val="single" w:color="auto" w:sz="4" w:space="0"/>
              <w:left w:val="nil"/>
              <w:bottom w:val="single" w:color="auto" w:sz="4" w:space="0"/>
              <w:right w:val="single" w:color="auto" w:sz="4" w:space="0"/>
            </w:tcBorders>
            <w:shd w:val="clear" w:color="auto" w:fill="auto"/>
            <w:vAlign w:val="center"/>
          </w:tcPr>
          <w:p w14:paraId="467E2BBD">
            <w:pPr>
              <w:spacing w:line="240" w:lineRule="exact"/>
              <w:jc w:val="right"/>
              <w:rPr>
                <w:rFonts w:ascii="宋体" w:hAnsi="宋体" w:eastAsia="宋体"/>
                <w:szCs w:val="21"/>
              </w:rPr>
            </w:pPr>
            <w:r>
              <w:rPr>
                <w:rFonts w:hint="eastAsia" w:ascii="宋体" w:hAnsi="宋体" w:eastAsia="宋体"/>
                <w:szCs w:val="21"/>
              </w:rPr>
              <w:t>  </w:t>
            </w:r>
            <w:r>
              <w:rPr>
                <w:rFonts w:ascii="宋体" w:hAnsi="宋体" w:eastAsia="宋体"/>
                <w:szCs w:val="21"/>
              </w:rPr>
              <w:t>10</w:t>
            </w:r>
            <w:r>
              <w:rPr>
                <w:rFonts w:hint="eastAsia" w:ascii="宋体" w:hAnsi="宋体" w:eastAsia="宋体"/>
                <w:szCs w:val="21"/>
              </w:rPr>
              <w:t>,</w:t>
            </w:r>
            <w:r>
              <w:rPr>
                <w:rFonts w:ascii="宋体" w:hAnsi="宋体" w:eastAsia="宋体"/>
                <w:szCs w:val="21"/>
              </w:rPr>
              <w:t>000</w:t>
            </w:r>
            <w:r>
              <w:rPr>
                <w:rFonts w:hint="eastAsia" w:ascii="宋体" w:hAnsi="宋体" w:eastAsia="宋体"/>
                <w:szCs w:val="21"/>
              </w:rPr>
              <w:t>.00</w:t>
            </w:r>
          </w:p>
        </w:tc>
        <w:tc>
          <w:tcPr>
            <w:tcW w:w="1981" w:type="dxa"/>
            <w:tcBorders>
              <w:top w:val="single" w:color="auto" w:sz="4" w:space="0"/>
              <w:left w:val="nil"/>
              <w:bottom w:val="single" w:color="auto" w:sz="4" w:space="0"/>
              <w:right w:val="single" w:color="auto" w:sz="4" w:space="0"/>
            </w:tcBorders>
            <w:shd w:val="clear" w:color="auto" w:fill="auto"/>
            <w:vAlign w:val="center"/>
          </w:tcPr>
          <w:p w14:paraId="74CD231E">
            <w:pPr>
              <w:spacing w:line="240" w:lineRule="exact"/>
              <w:jc w:val="left"/>
              <w:rPr>
                <w:rFonts w:ascii="宋体" w:hAnsi="宋体" w:eastAsia="宋体"/>
                <w:szCs w:val="21"/>
              </w:rPr>
            </w:pPr>
            <w:r>
              <w:rPr>
                <w:rFonts w:hint="eastAsia" w:ascii="宋体" w:hAnsi="宋体" w:eastAsia="宋体"/>
                <w:szCs w:val="21"/>
              </w:rPr>
              <w:t>安徽省淮北市相山区人民中路276号淮北矿业办公中心B座8层</w:t>
            </w:r>
          </w:p>
          <w:p w14:paraId="1308E834">
            <w:pPr>
              <w:spacing w:line="240" w:lineRule="exact"/>
              <w:jc w:val="left"/>
              <w:rPr>
                <w:rFonts w:ascii="宋体" w:hAnsi="宋体" w:eastAsia="宋体"/>
                <w:szCs w:val="21"/>
              </w:rPr>
            </w:pPr>
          </w:p>
        </w:tc>
        <w:tc>
          <w:tcPr>
            <w:tcW w:w="3959" w:type="dxa"/>
            <w:tcBorders>
              <w:top w:val="single" w:color="auto" w:sz="4" w:space="0"/>
              <w:left w:val="nil"/>
              <w:bottom w:val="single" w:color="auto" w:sz="4" w:space="0"/>
              <w:right w:val="single" w:color="auto" w:sz="4" w:space="0"/>
            </w:tcBorders>
            <w:shd w:val="clear" w:color="auto" w:fill="auto"/>
            <w:vAlign w:val="center"/>
          </w:tcPr>
          <w:p w14:paraId="4D5EFEF2">
            <w:pPr>
              <w:spacing w:line="240" w:lineRule="exact"/>
              <w:jc w:val="left"/>
              <w:rPr>
                <w:rFonts w:ascii="宋体" w:hAnsi="宋体" w:eastAsia="宋体"/>
                <w:szCs w:val="21"/>
              </w:rPr>
            </w:pPr>
            <w:r>
              <w:rPr>
                <w:rFonts w:hint="eastAsia" w:ascii="宋体" w:hAnsi="宋体" w:eastAsia="宋体"/>
                <w:szCs w:val="21"/>
              </w:rPr>
              <w:t>进出口代理、货物进出口，技术进出口、食品进出口，煤炭及制品销售，石油制品、化工产品、金属材料制品销售；农副产品销售；畜牧渔业饲料销售等</w:t>
            </w:r>
          </w:p>
        </w:tc>
        <w:tc>
          <w:tcPr>
            <w:tcW w:w="1947" w:type="dxa"/>
            <w:tcBorders>
              <w:top w:val="single" w:color="auto" w:sz="4" w:space="0"/>
              <w:left w:val="nil"/>
              <w:bottom w:val="single" w:color="auto" w:sz="4" w:space="0"/>
              <w:right w:val="double" w:color="auto" w:sz="2" w:space="0"/>
            </w:tcBorders>
            <w:shd w:val="clear" w:color="auto" w:fill="auto"/>
            <w:vAlign w:val="center"/>
          </w:tcPr>
          <w:p w14:paraId="402DE3B1">
            <w:pPr>
              <w:spacing w:line="240" w:lineRule="exact"/>
              <w:jc w:val="left"/>
              <w:rPr>
                <w:rFonts w:ascii="宋体" w:hAnsi="宋体" w:eastAsia="宋体"/>
                <w:szCs w:val="21"/>
              </w:rPr>
            </w:pPr>
            <w:r>
              <w:rPr>
                <w:rFonts w:hint="eastAsia" w:ascii="宋体" w:hAnsi="宋体" w:eastAsia="宋体"/>
                <w:szCs w:val="21"/>
              </w:rPr>
              <w:t>同受母公司控制</w:t>
            </w:r>
          </w:p>
        </w:tc>
      </w:tr>
      <w:tr w14:paraId="0205F975">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tcBorders>
              <w:top w:val="single" w:color="auto" w:sz="4" w:space="0"/>
              <w:left w:val="double" w:color="auto" w:sz="2" w:space="0"/>
              <w:bottom w:val="single" w:color="auto" w:sz="4" w:space="0"/>
              <w:right w:val="single" w:color="auto" w:sz="4" w:space="0"/>
            </w:tcBorders>
            <w:shd w:val="clear" w:color="auto" w:fill="auto"/>
            <w:vAlign w:val="center"/>
          </w:tcPr>
          <w:p w14:paraId="255F18DD">
            <w:pPr>
              <w:spacing w:line="240" w:lineRule="exact"/>
              <w:jc w:val="center"/>
              <w:rPr>
                <w:rFonts w:ascii="宋体" w:hAnsi="宋体" w:eastAsia="宋体"/>
                <w:szCs w:val="21"/>
              </w:rPr>
            </w:pPr>
            <w:r>
              <w:rPr>
                <w:rFonts w:hint="eastAsia" w:ascii="宋体" w:hAnsi="宋体" w:eastAsia="宋体"/>
                <w:szCs w:val="21"/>
              </w:rPr>
              <w:t>13</w:t>
            </w:r>
          </w:p>
        </w:tc>
        <w:tc>
          <w:tcPr>
            <w:tcW w:w="2037" w:type="dxa"/>
            <w:tcBorders>
              <w:top w:val="single" w:color="auto" w:sz="4" w:space="0"/>
              <w:left w:val="nil"/>
              <w:bottom w:val="single" w:color="auto" w:sz="4" w:space="0"/>
              <w:right w:val="single" w:color="auto" w:sz="4" w:space="0"/>
            </w:tcBorders>
            <w:shd w:val="clear" w:color="auto" w:fill="auto"/>
            <w:vAlign w:val="center"/>
          </w:tcPr>
          <w:p w14:paraId="2EB1958A">
            <w:pPr>
              <w:spacing w:line="240" w:lineRule="exact"/>
              <w:jc w:val="left"/>
              <w:rPr>
                <w:rFonts w:ascii="宋体" w:hAnsi="宋体" w:eastAsia="宋体"/>
                <w:szCs w:val="21"/>
              </w:rPr>
            </w:pPr>
            <w:r>
              <w:rPr>
                <w:rFonts w:hint="eastAsia" w:ascii="宋体" w:hAnsi="宋体" w:eastAsia="宋体"/>
                <w:szCs w:val="21"/>
              </w:rPr>
              <w:t>淮北矿业（海南）投资发展有限公司</w:t>
            </w:r>
          </w:p>
        </w:tc>
        <w:tc>
          <w:tcPr>
            <w:tcW w:w="2571" w:type="dxa"/>
            <w:tcBorders>
              <w:top w:val="single" w:color="auto" w:sz="4" w:space="0"/>
              <w:left w:val="nil"/>
              <w:bottom w:val="single" w:color="auto" w:sz="4" w:space="0"/>
              <w:right w:val="single" w:color="auto" w:sz="4" w:space="0"/>
            </w:tcBorders>
            <w:shd w:val="clear" w:color="auto" w:fill="auto"/>
            <w:vAlign w:val="center"/>
          </w:tcPr>
          <w:p w14:paraId="056DFD6E">
            <w:pPr>
              <w:spacing w:line="240" w:lineRule="exact"/>
              <w:rPr>
                <w:rFonts w:ascii="宋体" w:hAnsi="宋体" w:eastAsia="宋体"/>
                <w:szCs w:val="21"/>
              </w:rPr>
            </w:pPr>
            <w:r>
              <w:rPr>
                <w:rFonts w:hint="eastAsia" w:ascii="宋体" w:hAnsi="宋体" w:eastAsia="宋体"/>
                <w:szCs w:val="21"/>
              </w:rPr>
              <w:t>有限责任公司（非自然人投资或控股的法人独资）</w:t>
            </w:r>
          </w:p>
        </w:tc>
        <w:tc>
          <w:tcPr>
            <w:tcW w:w="1469" w:type="dxa"/>
            <w:tcBorders>
              <w:top w:val="single" w:color="auto" w:sz="4" w:space="0"/>
              <w:left w:val="nil"/>
              <w:bottom w:val="single" w:color="auto" w:sz="4" w:space="0"/>
              <w:right w:val="single" w:color="auto" w:sz="4" w:space="0"/>
            </w:tcBorders>
            <w:shd w:val="clear" w:color="auto" w:fill="auto"/>
            <w:vAlign w:val="center"/>
          </w:tcPr>
          <w:p w14:paraId="6C5B7D9F">
            <w:pPr>
              <w:spacing w:line="240" w:lineRule="exact"/>
              <w:jc w:val="center"/>
              <w:rPr>
                <w:rFonts w:ascii="宋体" w:hAnsi="宋体" w:eastAsia="宋体"/>
                <w:szCs w:val="21"/>
              </w:rPr>
            </w:pPr>
            <w:r>
              <w:rPr>
                <w:rFonts w:hint="eastAsia" w:ascii="宋体" w:hAnsi="宋体" w:eastAsia="宋体"/>
                <w:szCs w:val="21"/>
              </w:rPr>
              <w:t>彭涛</w:t>
            </w:r>
          </w:p>
        </w:tc>
        <w:tc>
          <w:tcPr>
            <w:tcW w:w="1841" w:type="dxa"/>
            <w:tcBorders>
              <w:top w:val="single" w:color="auto" w:sz="4" w:space="0"/>
              <w:left w:val="nil"/>
              <w:bottom w:val="single" w:color="auto" w:sz="4" w:space="0"/>
              <w:right w:val="single" w:color="auto" w:sz="4" w:space="0"/>
            </w:tcBorders>
            <w:shd w:val="clear" w:color="auto" w:fill="auto"/>
            <w:vAlign w:val="center"/>
          </w:tcPr>
          <w:p w14:paraId="5F171AC2">
            <w:pPr>
              <w:spacing w:line="240" w:lineRule="exact"/>
              <w:jc w:val="right"/>
              <w:rPr>
                <w:rFonts w:ascii="宋体" w:hAnsi="宋体" w:eastAsia="宋体"/>
                <w:szCs w:val="21"/>
              </w:rPr>
            </w:pPr>
            <w:r>
              <w:rPr>
                <w:rFonts w:hint="eastAsia" w:ascii="宋体" w:hAnsi="宋体" w:eastAsia="宋体"/>
                <w:szCs w:val="21"/>
              </w:rPr>
              <w:t>20,000.00</w:t>
            </w:r>
          </w:p>
        </w:tc>
        <w:tc>
          <w:tcPr>
            <w:tcW w:w="1981" w:type="dxa"/>
            <w:tcBorders>
              <w:top w:val="single" w:color="auto" w:sz="4" w:space="0"/>
              <w:left w:val="nil"/>
              <w:bottom w:val="single" w:color="auto" w:sz="4" w:space="0"/>
              <w:right w:val="single" w:color="auto" w:sz="4" w:space="0"/>
            </w:tcBorders>
            <w:shd w:val="clear" w:color="auto" w:fill="auto"/>
            <w:vAlign w:val="center"/>
          </w:tcPr>
          <w:p w14:paraId="3212E13B">
            <w:pPr>
              <w:spacing w:line="240" w:lineRule="exact"/>
              <w:jc w:val="left"/>
              <w:rPr>
                <w:rFonts w:ascii="宋体" w:hAnsi="宋体" w:eastAsia="宋体"/>
                <w:szCs w:val="21"/>
              </w:rPr>
            </w:pPr>
            <w:r>
              <w:rPr>
                <w:rFonts w:hint="eastAsia" w:ascii="宋体" w:hAnsi="宋体" w:eastAsia="宋体"/>
                <w:szCs w:val="21"/>
              </w:rPr>
              <w:t>海南省海口市江东新区兴洋大道181号205室-11065</w:t>
            </w:r>
          </w:p>
          <w:p w14:paraId="04558B73">
            <w:pPr>
              <w:spacing w:line="240" w:lineRule="exact"/>
              <w:jc w:val="left"/>
              <w:rPr>
                <w:rFonts w:ascii="宋体" w:hAnsi="宋体" w:eastAsia="宋体"/>
                <w:szCs w:val="21"/>
              </w:rPr>
            </w:pPr>
          </w:p>
        </w:tc>
        <w:tc>
          <w:tcPr>
            <w:tcW w:w="3959" w:type="dxa"/>
            <w:tcBorders>
              <w:top w:val="single" w:color="auto" w:sz="4" w:space="0"/>
              <w:left w:val="nil"/>
              <w:bottom w:val="single" w:color="auto" w:sz="4" w:space="0"/>
              <w:right w:val="single" w:color="auto" w:sz="4" w:space="0"/>
            </w:tcBorders>
            <w:shd w:val="clear" w:color="auto" w:fill="auto"/>
            <w:vAlign w:val="center"/>
          </w:tcPr>
          <w:p w14:paraId="5F0F27AE">
            <w:pPr>
              <w:spacing w:line="240" w:lineRule="exact"/>
              <w:jc w:val="left"/>
              <w:rPr>
                <w:rFonts w:ascii="宋体" w:hAnsi="宋体" w:eastAsia="宋体"/>
                <w:szCs w:val="21"/>
              </w:rPr>
            </w:pPr>
            <w:r>
              <w:rPr>
                <w:rFonts w:hint="eastAsia" w:ascii="宋体" w:hAnsi="宋体" w:eastAsia="宋体"/>
                <w:szCs w:val="21"/>
              </w:rPr>
              <w:t>保税仓库经营、报关业务、技术进出口；进出口代理出口监管仓库经营；第二类增值电信业务；旅游业务；食品销售、炼油、化工生产专用设备销售等</w:t>
            </w:r>
          </w:p>
        </w:tc>
        <w:tc>
          <w:tcPr>
            <w:tcW w:w="1947" w:type="dxa"/>
            <w:tcBorders>
              <w:top w:val="single" w:color="auto" w:sz="4" w:space="0"/>
              <w:left w:val="nil"/>
              <w:bottom w:val="single" w:color="auto" w:sz="4" w:space="0"/>
              <w:right w:val="double" w:color="auto" w:sz="2" w:space="0"/>
            </w:tcBorders>
            <w:shd w:val="clear" w:color="auto" w:fill="auto"/>
            <w:vAlign w:val="center"/>
          </w:tcPr>
          <w:p w14:paraId="31B09B7F">
            <w:pPr>
              <w:spacing w:line="240" w:lineRule="exact"/>
              <w:jc w:val="left"/>
              <w:rPr>
                <w:rFonts w:ascii="宋体" w:hAnsi="宋体" w:eastAsia="宋体"/>
                <w:szCs w:val="21"/>
              </w:rPr>
            </w:pPr>
            <w:r>
              <w:rPr>
                <w:rFonts w:hint="eastAsia" w:ascii="宋体" w:hAnsi="宋体" w:eastAsia="宋体"/>
                <w:szCs w:val="21"/>
              </w:rPr>
              <w:t>同受母公司控制</w:t>
            </w:r>
          </w:p>
        </w:tc>
      </w:tr>
      <w:tr w14:paraId="3A4D5F4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93" w:type="dxa"/>
            <w:tcBorders>
              <w:top w:val="single" w:color="auto" w:sz="4" w:space="0"/>
              <w:left w:val="double" w:color="auto" w:sz="2" w:space="0"/>
              <w:bottom w:val="single" w:color="auto" w:sz="4" w:space="0"/>
              <w:right w:val="single" w:color="auto" w:sz="4" w:space="0"/>
            </w:tcBorders>
            <w:shd w:val="clear" w:color="auto" w:fill="auto"/>
            <w:vAlign w:val="center"/>
          </w:tcPr>
          <w:p w14:paraId="2B46A815">
            <w:pPr>
              <w:spacing w:line="240" w:lineRule="exact"/>
              <w:jc w:val="center"/>
              <w:rPr>
                <w:rFonts w:ascii="宋体" w:hAnsi="宋体" w:eastAsia="宋体"/>
                <w:szCs w:val="21"/>
              </w:rPr>
            </w:pPr>
            <w:r>
              <w:rPr>
                <w:rFonts w:hint="eastAsia" w:ascii="宋体" w:hAnsi="宋体" w:eastAsia="宋体"/>
                <w:szCs w:val="21"/>
              </w:rPr>
              <w:t>14</w:t>
            </w:r>
          </w:p>
        </w:tc>
        <w:tc>
          <w:tcPr>
            <w:tcW w:w="2037" w:type="dxa"/>
            <w:tcBorders>
              <w:top w:val="single" w:color="auto" w:sz="4" w:space="0"/>
              <w:left w:val="nil"/>
              <w:bottom w:val="single" w:color="auto" w:sz="4" w:space="0"/>
              <w:right w:val="single" w:color="auto" w:sz="4" w:space="0"/>
            </w:tcBorders>
            <w:shd w:val="clear" w:color="auto" w:fill="auto"/>
            <w:vAlign w:val="center"/>
          </w:tcPr>
          <w:p w14:paraId="30228540">
            <w:pPr>
              <w:spacing w:line="240" w:lineRule="exact"/>
              <w:jc w:val="left"/>
              <w:rPr>
                <w:rFonts w:ascii="宋体" w:hAnsi="宋体" w:eastAsia="宋体"/>
                <w:szCs w:val="21"/>
              </w:rPr>
            </w:pPr>
            <w:r>
              <w:rPr>
                <w:rFonts w:hint="eastAsia" w:ascii="宋体" w:hAnsi="宋体" w:eastAsia="宋体"/>
                <w:szCs w:val="21"/>
              </w:rPr>
              <w:t>淮北矿业广聚物流产业园运营有限公司</w:t>
            </w:r>
          </w:p>
        </w:tc>
        <w:tc>
          <w:tcPr>
            <w:tcW w:w="2571" w:type="dxa"/>
            <w:tcBorders>
              <w:top w:val="single" w:color="auto" w:sz="4" w:space="0"/>
              <w:left w:val="nil"/>
              <w:bottom w:val="single" w:color="auto" w:sz="4" w:space="0"/>
              <w:right w:val="single" w:color="auto" w:sz="4" w:space="0"/>
            </w:tcBorders>
            <w:shd w:val="clear" w:color="auto" w:fill="auto"/>
            <w:vAlign w:val="center"/>
          </w:tcPr>
          <w:p w14:paraId="190EEC84">
            <w:pPr>
              <w:spacing w:line="240" w:lineRule="exact"/>
              <w:rPr>
                <w:rFonts w:ascii="宋体" w:hAnsi="宋体" w:eastAsia="宋体"/>
                <w:szCs w:val="21"/>
              </w:rPr>
            </w:pPr>
            <w:r>
              <w:rPr>
                <w:rFonts w:hint="eastAsia" w:ascii="宋体" w:hAnsi="宋体" w:eastAsia="宋体"/>
                <w:szCs w:val="21"/>
              </w:rPr>
              <w:t>其他有限责任公司</w:t>
            </w:r>
          </w:p>
        </w:tc>
        <w:tc>
          <w:tcPr>
            <w:tcW w:w="1469" w:type="dxa"/>
            <w:tcBorders>
              <w:top w:val="single" w:color="auto" w:sz="4" w:space="0"/>
              <w:left w:val="nil"/>
              <w:bottom w:val="single" w:color="auto" w:sz="4" w:space="0"/>
              <w:right w:val="single" w:color="auto" w:sz="4" w:space="0"/>
            </w:tcBorders>
            <w:shd w:val="clear" w:color="auto" w:fill="auto"/>
            <w:vAlign w:val="center"/>
          </w:tcPr>
          <w:p w14:paraId="526EF159">
            <w:pPr>
              <w:spacing w:line="240" w:lineRule="exact"/>
              <w:jc w:val="center"/>
              <w:rPr>
                <w:rFonts w:ascii="宋体" w:hAnsi="宋体" w:eastAsia="宋体"/>
                <w:szCs w:val="21"/>
              </w:rPr>
            </w:pPr>
            <w:r>
              <w:rPr>
                <w:rFonts w:hint="eastAsia" w:ascii="宋体" w:hAnsi="宋体" w:eastAsia="宋体"/>
                <w:szCs w:val="21"/>
              </w:rPr>
              <w:t>张道春</w:t>
            </w:r>
          </w:p>
        </w:tc>
        <w:tc>
          <w:tcPr>
            <w:tcW w:w="1841" w:type="dxa"/>
            <w:tcBorders>
              <w:top w:val="single" w:color="auto" w:sz="4" w:space="0"/>
              <w:left w:val="nil"/>
              <w:bottom w:val="single" w:color="auto" w:sz="4" w:space="0"/>
              <w:right w:val="single" w:color="auto" w:sz="4" w:space="0"/>
            </w:tcBorders>
            <w:shd w:val="clear" w:color="auto" w:fill="auto"/>
            <w:vAlign w:val="center"/>
          </w:tcPr>
          <w:p w14:paraId="1792B7FC">
            <w:pPr>
              <w:spacing w:line="240" w:lineRule="exact"/>
              <w:jc w:val="right"/>
              <w:rPr>
                <w:rFonts w:ascii="宋体" w:hAnsi="宋体" w:eastAsia="宋体"/>
                <w:szCs w:val="21"/>
              </w:rPr>
            </w:pPr>
            <w:r>
              <w:rPr>
                <w:rFonts w:hint="eastAsia" w:ascii="宋体" w:hAnsi="宋体" w:eastAsia="宋体"/>
                <w:szCs w:val="21"/>
              </w:rPr>
              <w:t>22,346.30</w:t>
            </w:r>
          </w:p>
        </w:tc>
        <w:tc>
          <w:tcPr>
            <w:tcW w:w="1981" w:type="dxa"/>
            <w:tcBorders>
              <w:top w:val="single" w:color="auto" w:sz="4" w:space="0"/>
              <w:left w:val="nil"/>
              <w:bottom w:val="single" w:color="auto" w:sz="4" w:space="0"/>
              <w:right w:val="single" w:color="auto" w:sz="4" w:space="0"/>
            </w:tcBorders>
            <w:shd w:val="clear" w:color="auto" w:fill="auto"/>
            <w:vAlign w:val="center"/>
          </w:tcPr>
          <w:p w14:paraId="012A24A3">
            <w:pPr>
              <w:spacing w:line="240" w:lineRule="exact"/>
              <w:jc w:val="left"/>
              <w:rPr>
                <w:rFonts w:ascii="宋体" w:hAnsi="宋体" w:eastAsia="宋体"/>
                <w:szCs w:val="21"/>
              </w:rPr>
            </w:pPr>
            <w:r>
              <w:rPr>
                <w:rFonts w:hint="eastAsia" w:ascii="宋体" w:hAnsi="宋体" w:eastAsia="宋体"/>
                <w:szCs w:val="21"/>
              </w:rPr>
              <w:t xml:space="preserve">安徽省淮北市杜集区经济开发区紫昱路188号 </w:t>
            </w:r>
          </w:p>
        </w:tc>
        <w:tc>
          <w:tcPr>
            <w:tcW w:w="3959" w:type="dxa"/>
            <w:tcBorders>
              <w:top w:val="single" w:color="auto" w:sz="4" w:space="0"/>
              <w:left w:val="nil"/>
              <w:bottom w:val="single" w:color="auto" w:sz="4" w:space="0"/>
              <w:right w:val="single" w:color="auto" w:sz="4" w:space="0"/>
            </w:tcBorders>
            <w:shd w:val="clear" w:color="auto" w:fill="auto"/>
            <w:vAlign w:val="center"/>
          </w:tcPr>
          <w:p w14:paraId="0419FC52">
            <w:pPr>
              <w:spacing w:line="240" w:lineRule="exact"/>
              <w:jc w:val="left"/>
              <w:rPr>
                <w:rFonts w:ascii="宋体" w:hAnsi="宋体" w:eastAsia="宋体"/>
                <w:szCs w:val="21"/>
              </w:rPr>
            </w:pPr>
            <w:r>
              <w:rPr>
                <w:rFonts w:hint="eastAsia" w:ascii="宋体" w:hAnsi="宋体" w:eastAsia="宋体"/>
                <w:szCs w:val="21"/>
              </w:rPr>
              <w:t>公共铁路运输;道路货物运输;道路货物运输</w:t>
            </w:r>
          </w:p>
        </w:tc>
        <w:tc>
          <w:tcPr>
            <w:tcW w:w="1947" w:type="dxa"/>
            <w:tcBorders>
              <w:top w:val="single" w:color="auto" w:sz="4" w:space="0"/>
              <w:left w:val="nil"/>
              <w:bottom w:val="single" w:color="auto" w:sz="4" w:space="0"/>
              <w:right w:val="double" w:color="auto" w:sz="2" w:space="0"/>
            </w:tcBorders>
            <w:shd w:val="clear" w:color="auto" w:fill="auto"/>
            <w:vAlign w:val="center"/>
          </w:tcPr>
          <w:p w14:paraId="65778F5A">
            <w:pPr>
              <w:spacing w:line="240" w:lineRule="exact"/>
              <w:jc w:val="left"/>
              <w:rPr>
                <w:rFonts w:ascii="宋体" w:hAnsi="宋体" w:eastAsia="宋体"/>
                <w:szCs w:val="21"/>
              </w:rPr>
            </w:pPr>
            <w:r>
              <w:rPr>
                <w:rFonts w:hint="eastAsia" w:ascii="宋体" w:hAnsi="宋体" w:eastAsia="宋体"/>
                <w:szCs w:val="21"/>
              </w:rPr>
              <w:t>同受母公司控制</w:t>
            </w:r>
          </w:p>
        </w:tc>
      </w:tr>
    </w:tbl>
    <w:p w14:paraId="71B138A1">
      <w:pPr>
        <w:spacing w:before="156" w:beforeLines="50" w:line="360" w:lineRule="auto"/>
        <w:rPr>
          <w:rFonts w:ascii="宋体" w:hAnsi="宋体" w:eastAsia="宋体" w:cs="Calibri"/>
          <w:b/>
          <w:sz w:val="24"/>
          <w:szCs w:val="24"/>
        </w:rPr>
      </w:pPr>
      <w:r>
        <w:rPr>
          <w:rFonts w:hint="eastAsia" w:ascii="宋体" w:hAnsi="宋体" w:eastAsia="宋体"/>
          <w:b/>
          <w:sz w:val="24"/>
          <w:szCs w:val="24"/>
        </w:rPr>
        <w:t>（二）履约能力分析</w:t>
      </w:r>
    </w:p>
    <w:p w14:paraId="39F90403">
      <w:pPr>
        <w:spacing w:before="156" w:beforeLines="50" w:line="360" w:lineRule="auto"/>
        <w:ind w:firstLine="480" w:firstLineChars="200"/>
        <w:rPr>
          <w:rFonts w:ascii="宋体" w:hAnsi="宋体" w:eastAsia="宋体"/>
          <w:sz w:val="24"/>
          <w:szCs w:val="24"/>
        </w:rPr>
      </w:pPr>
      <w:r>
        <w:rPr>
          <w:rFonts w:hint="eastAsia" w:ascii="宋体" w:hAnsi="宋体" w:eastAsia="宋体"/>
          <w:sz w:val="24"/>
          <w:szCs w:val="24"/>
        </w:rPr>
        <w:t>上述关联企业均依法存续经营，其经济效益和财务状况良好。日常交易中能正常履行合同约定内容，不是失信责任主体，具备较强的履约能力。</w:t>
      </w:r>
    </w:p>
    <w:p w14:paraId="0F3B0E52">
      <w:pPr>
        <w:spacing w:line="360" w:lineRule="auto"/>
        <w:ind w:firstLine="482" w:firstLineChars="200"/>
        <w:rPr>
          <w:rFonts w:ascii="宋体" w:hAnsi="宋体" w:eastAsia="宋体"/>
          <w:b/>
          <w:sz w:val="24"/>
          <w:szCs w:val="24"/>
        </w:rPr>
      </w:pPr>
      <w:r>
        <w:rPr>
          <w:rFonts w:hint="eastAsia" w:ascii="宋体" w:hAnsi="宋体" w:eastAsia="宋体"/>
          <w:b/>
          <w:sz w:val="24"/>
          <w:szCs w:val="24"/>
        </w:rPr>
        <w:t>四、关联交易主要内容和定价政策</w:t>
      </w:r>
    </w:p>
    <w:p w14:paraId="463D7DFD">
      <w:pPr>
        <w:spacing w:line="360" w:lineRule="auto"/>
        <w:ind w:firstLine="480" w:firstLineChars="200"/>
        <w:rPr>
          <w:rFonts w:ascii="宋体" w:hAnsi="宋体" w:eastAsia="宋体"/>
          <w:sz w:val="24"/>
          <w:szCs w:val="24"/>
        </w:rPr>
      </w:pPr>
      <w:r>
        <w:rPr>
          <w:rFonts w:hint="eastAsia" w:ascii="宋体" w:hAnsi="宋体" w:eastAsia="宋体"/>
          <w:sz w:val="24"/>
          <w:szCs w:val="24"/>
        </w:rPr>
        <w:t>主要内容：公司与关联人发生的购销产品、商品，接受劳务、金融服务等。</w:t>
      </w:r>
    </w:p>
    <w:p w14:paraId="50775A88">
      <w:pPr>
        <w:spacing w:line="360" w:lineRule="auto"/>
        <w:ind w:firstLine="480" w:firstLineChars="200"/>
        <w:rPr>
          <w:rFonts w:ascii="宋体" w:hAnsi="宋体" w:eastAsia="宋体"/>
          <w:sz w:val="24"/>
          <w:szCs w:val="24"/>
        </w:rPr>
      </w:pPr>
      <w:r>
        <w:rPr>
          <w:rFonts w:hint="eastAsia" w:ascii="宋体" w:hAnsi="宋体" w:eastAsia="宋体"/>
          <w:sz w:val="24"/>
          <w:szCs w:val="24"/>
        </w:rPr>
        <w:t>定价政策：公司与关联方之间的日常关联交易按公平、公正的原则进行，上述关联交易为公司正常生产经营所发生的，是公司与关联方之间日常的合法经济行为，关联交易定价方法主要参考行业惯例、市价，依据《关联交易管理制度》确定公允的交易价格。具体合同由交易双方根据实际发生情况在预计金额范围内签署。</w:t>
      </w:r>
    </w:p>
    <w:p w14:paraId="3C01C7F0">
      <w:pPr>
        <w:spacing w:line="360" w:lineRule="auto"/>
        <w:ind w:firstLine="482" w:firstLineChars="200"/>
        <w:rPr>
          <w:rFonts w:ascii="宋体" w:hAnsi="宋体" w:eastAsia="宋体"/>
          <w:b/>
          <w:sz w:val="24"/>
          <w:szCs w:val="24"/>
        </w:rPr>
      </w:pPr>
      <w:r>
        <w:rPr>
          <w:rFonts w:hint="eastAsia" w:ascii="宋体" w:hAnsi="宋体" w:eastAsia="宋体"/>
          <w:b/>
          <w:sz w:val="24"/>
          <w:szCs w:val="24"/>
        </w:rPr>
        <w:t>五、关联交易的目的和对公司的影响</w:t>
      </w:r>
    </w:p>
    <w:p w14:paraId="6FEAD5AA">
      <w:pPr>
        <w:spacing w:line="360" w:lineRule="auto"/>
        <w:ind w:firstLine="480" w:firstLineChars="200"/>
        <w:rPr>
          <w:rFonts w:ascii="宋体" w:hAnsi="宋体" w:eastAsia="宋体"/>
          <w:sz w:val="24"/>
          <w:szCs w:val="24"/>
        </w:rPr>
      </w:pPr>
      <w:r>
        <w:rPr>
          <w:rFonts w:hint="eastAsia" w:ascii="宋体" w:hAnsi="宋体" w:eastAsia="宋体"/>
          <w:sz w:val="24"/>
          <w:szCs w:val="24"/>
        </w:rPr>
        <w:t>公司与各关联方之间销售商品、采购商品、接受服务等日常关联交易，均属于公司正常生产经营活动所需，交易双方遵循平等、自愿的原则，关联交易价格公允，不存在损害公司及非关联方股东利益的情况。公司与控股股东及其他关联方在业务、人员、资产、机构、财务等方面独立，该日常关联交易不会对公司的独立性产生影响，不会使公司主营业务对关联方形成依赖。</w:t>
      </w:r>
    </w:p>
    <w:p w14:paraId="3B2583BA">
      <w:pPr>
        <w:spacing w:line="360" w:lineRule="auto"/>
        <w:ind w:firstLine="480" w:firstLineChars="200"/>
        <w:rPr>
          <w:rFonts w:ascii="宋体" w:hAnsi="宋体" w:eastAsia="宋体"/>
          <w:sz w:val="24"/>
          <w:szCs w:val="24"/>
        </w:rPr>
      </w:pPr>
      <w:r>
        <w:rPr>
          <w:rFonts w:hint="eastAsia" w:ascii="宋体" w:hAnsi="宋体" w:eastAsia="宋体"/>
          <w:sz w:val="24"/>
          <w:szCs w:val="24"/>
        </w:rPr>
        <w:t>请审议。</w:t>
      </w:r>
      <w:r>
        <w:rPr>
          <w:rFonts w:hint="eastAsia" w:ascii="宋体" w:hAnsi="宋体" w:eastAsia="宋体"/>
          <w:sz w:val="24"/>
          <w:szCs w:val="24"/>
        </w:rPr>
        <w:br w:type="page"/>
      </w:r>
    </w:p>
    <w:p w14:paraId="7FFB842D">
      <w:pPr>
        <w:spacing w:line="440" w:lineRule="exact"/>
        <w:jc w:val="left"/>
        <w:rPr>
          <w:rFonts w:ascii="楷体_GB2312" w:hAnsi="Arial" w:eastAsia="楷体_GB2312" w:cs="宋体"/>
          <w:b/>
          <w:kern w:val="0"/>
          <w:szCs w:val="21"/>
        </w:rPr>
      </w:pPr>
      <w:r>
        <w:rPr>
          <w:rFonts w:hint="eastAsia" w:ascii="楷体_GB2312" w:hAnsi="Arial" w:eastAsia="楷体_GB2312" w:cs="宋体"/>
          <w:b/>
          <w:kern w:val="0"/>
          <w:szCs w:val="21"/>
        </w:rPr>
        <w:t>议案二</w:t>
      </w:r>
    </w:p>
    <w:p w14:paraId="325F44DA">
      <w:pPr>
        <w:pStyle w:val="2"/>
        <w:spacing w:line="440" w:lineRule="exact"/>
        <w:jc w:val="center"/>
        <w:rPr>
          <w:rFonts w:ascii="宋体" w:hAnsi="宋体"/>
          <w:sz w:val="32"/>
          <w:szCs w:val="28"/>
        </w:rPr>
      </w:pPr>
      <w:bookmarkStart w:id="17" w:name="_Toc187671605"/>
      <w:bookmarkStart w:id="18" w:name="_Toc188624119"/>
      <w:r>
        <w:rPr>
          <w:rFonts w:hint="eastAsia" w:ascii="宋体" w:hAnsi="宋体"/>
          <w:sz w:val="32"/>
          <w:szCs w:val="28"/>
        </w:rPr>
        <w:t>关于更换第五届董事会非独立董事的议案</w:t>
      </w:r>
      <w:bookmarkEnd w:id="17"/>
      <w:bookmarkEnd w:id="18"/>
    </w:p>
    <w:p w14:paraId="597729A8">
      <w:pPr>
        <w:pStyle w:val="4"/>
        <w:spacing w:line="360" w:lineRule="auto"/>
        <w:jc w:val="both"/>
        <w:rPr>
          <w:kern w:val="2"/>
          <w:sz w:val="24"/>
          <w:szCs w:val="28"/>
        </w:rPr>
      </w:pPr>
      <w:r>
        <w:rPr>
          <w:rFonts w:hint="eastAsia"/>
          <w:kern w:val="2"/>
          <w:sz w:val="24"/>
          <w:szCs w:val="28"/>
        </w:rPr>
        <w:t>各位股东及股东代表：</w:t>
      </w:r>
    </w:p>
    <w:p w14:paraId="0BD7372A">
      <w:pPr>
        <w:pStyle w:val="4"/>
        <w:spacing w:line="360" w:lineRule="auto"/>
        <w:ind w:firstLine="480" w:firstLineChars="200"/>
        <w:jc w:val="both"/>
        <w:rPr>
          <w:rFonts w:ascii="宋体" w:hAnsi="宋体"/>
          <w:kern w:val="2"/>
          <w:sz w:val="24"/>
        </w:rPr>
      </w:pPr>
      <w:r>
        <w:rPr>
          <w:rFonts w:hint="eastAsia" w:ascii="宋体" w:hAnsi="宋体" w:cs="仿宋_GB2312"/>
          <w:sz w:val="24"/>
        </w:rPr>
        <w:t>近期，公司收到股东方安徽皖投工业投资有限公司（以下简称“皖投工业”）函件，经皖投工业研究决定，推荐于玉娇（简历见附件一）为公司董事人选，接替马超履行相关职责。</w:t>
      </w:r>
      <w:r>
        <w:rPr>
          <w:rFonts w:hint="eastAsia" w:ascii="宋体" w:hAnsi="宋体"/>
          <w:kern w:val="2"/>
          <w:sz w:val="24"/>
        </w:rPr>
        <w:t>任期自股东大会审议通过之日起至本届董事会届满之日止。</w:t>
      </w:r>
    </w:p>
    <w:p w14:paraId="5DE83255">
      <w:pPr>
        <w:pStyle w:val="4"/>
        <w:spacing w:line="360" w:lineRule="auto"/>
        <w:ind w:firstLine="480" w:firstLineChars="200"/>
        <w:jc w:val="both"/>
        <w:rPr>
          <w:kern w:val="2"/>
          <w:sz w:val="24"/>
          <w:szCs w:val="28"/>
        </w:rPr>
      </w:pPr>
      <w:r>
        <w:rPr>
          <w:rFonts w:hint="eastAsia"/>
          <w:kern w:val="2"/>
          <w:sz w:val="24"/>
          <w:szCs w:val="28"/>
        </w:rPr>
        <w:t>请各位股东及股东代表审议。</w:t>
      </w:r>
    </w:p>
    <w:p w14:paraId="0F37B627">
      <w:pPr>
        <w:widowControl/>
        <w:jc w:val="left"/>
        <w:rPr>
          <w:rFonts w:ascii="宋体" w:hAnsi="宋体" w:eastAsia="宋体"/>
          <w:b/>
          <w:sz w:val="24"/>
          <w:szCs w:val="24"/>
        </w:rPr>
      </w:pPr>
      <w:r>
        <w:rPr>
          <w:rFonts w:ascii="宋体" w:hAnsi="宋体" w:eastAsia="宋体"/>
          <w:b/>
          <w:sz w:val="24"/>
          <w:szCs w:val="24"/>
        </w:rPr>
        <w:br w:type="page"/>
      </w:r>
    </w:p>
    <w:p w14:paraId="08862306">
      <w:pPr>
        <w:spacing w:before="156" w:beforeLines="50" w:line="360" w:lineRule="auto"/>
        <w:rPr>
          <w:rFonts w:ascii="宋体" w:hAnsi="宋体" w:eastAsia="宋体" w:cs="宋体"/>
          <w:b/>
          <w:bCs/>
          <w:sz w:val="24"/>
          <w:szCs w:val="24"/>
        </w:rPr>
      </w:pPr>
      <w:r>
        <w:rPr>
          <w:rFonts w:hint="eastAsia" w:ascii="宋体" w:hAnsi="宋体" w:eastAsia="宋体" w:cs="宋体"/>
          <w:b/>
          <w:bCs/>
          <w:sz w:val="24"/>
          <w:szCs w:val="24"/>
        </w:rPr>
        <w:t>附件一：非独立董事候选人简历</w:t>
      </w:r>
    </w:p>
    <w:p w14:paraId="3AED05EB">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于玉娇</w:t>
      </w:r>
      <w:r>
        <w:rPr>
          <w:rFonts w:hint="eastAsia" w:ascii="宋体" w:hAnsi="宋体" w:eastAsia="宋体" w:cs="宋体"/>
          <w:sz w:val="24"/>
          <w:szCs w:val="24"/>
        </w:rPr>
        <w:t>，女，汉族，1988年1月生，中共党员，硕士研究生。2011.05-2017.05先后在深圳海王集团股份公司、合肥财经职业学院、安徽省皖投融资担保有限责任公司、安徽省国资金融投资有限公司等公司任职；2017.05-2019.03在安徽省高新投公司任职；2019.03至今担任安徽省高新投公司战略投资部总经理。</w:t>
      </w:r>
    </w:p>
    <w:p w14:paraId="7F218350">
      <w:pPr>
        <w:widowControl/>
        <w:jc w:val="left"/>
        <w:rPr>
          <w:rFonts w:ascii="宋体" w:hAnsi="宋体" w:eastAsia="宋体"/>
          <w:b/>
          <w:sz w:val="24"/>
          <w:szCs w:val="24"/>
        </w:rPr>
      </w:pPr>
      <w:r>
        <w:rPr>
          <w:rFonts w:ascii="宋体" w:hAnsi="宋体" w:eastAsia="宋体"/>
          <w:b/>
          <w:sz w:val="24"/>
          <w:szCs w:val="24"/>
        </w:rPr>
        <w:br w:type="page"/>
      </w:r>
    </w:p>
    <w:p w14:paraId="0D87C64B">
      <w:pPr>
        <w:spacing w:line="440" w:lineRule="exact"/>
        <w:jc w:val="left"/>
        <w:rPr>
          <w:rFonts w:ascii="楷体_GB2312" w:hAnsi="Arial" w:eastAsia="楷体_GB2312" w:cs="宋体"/>
          <w:b/>
          <w:kern w:val="0"/>
          <w:szCs w:val="21"/>
        </w:rPr>
      </w:pPr>
      <w:r>
        <w:rPr>
          <w:rFonts w:hint="eastAsia" w:ascii="楷体_GB2312" w:hAnsi="Arial" w:eastAsia="楷体_GB2312" w:cs="宋体"/>
          <w:b/>
          <w:kern w:val="0"/>
          <w:szCs w:val="21"/>
        </w:rPr>
        <w:t>议案三</w:t>
      </w:r>
    </w:p>
    <w:p w14:paraId="6325EC3A">
      <w:pPr>
        <w:pStyle w:val="2"/>
        <w:spacing w:line="440" w:lineRule="exact"/>
        <w:jc w:val="center"/>
        <w:rPr>
          <w:rFonts w:ascii="宋体" w:hAnsi="宋体"/>
          <w:sz w:val="32"/>
          <w:szCs w:val="28"/>
        </w:rPr>
      </w:pPr>
      <w:bookmarkStart w:id="19" w:name="_Toc188624120"/>
      <w:bookmarkStart w:id="20" w:name="_Toc137570124"/>
      <w:bookmarkStart w:id="21" w:name="_Toc144114423"/>
      <w:bookmarkStart w:id="22" w:name="_Toc187672563"/>
      <w:r>
        <w:rPr>
          <w:rFonts w:hint="eastAsia" w:ascii="宋体" w:hAnsi="宋体"/>
          <w:sz w:val="32"/>
          <w:szCs w:val="28"/>
        </w:rPr>
        <w:t>关于补选第五届监事会非职工代表监事的议案</w:t>
      </w:r>
      <w:bookmarkEnd w:id="19"/>
      <w:bookmarkEnd w:id="20"/>
      <w:bookmarkEnd w:id="21"/>
      <w:bookmarkEnd w:id="22"/>
    </w:p>
    <w:p w14:paraId="4A3CBFD7">
      <w:pPr>
        <w:pStyle w:val="4"/>
        <w:spacing w:line="360" w:lineRule="auto"/>
        <w:jc w:val="both"/>
        <w:rPr>
          <w:kern w:val="2"/>
          <w:sz w:val="24"/>
          <w:szCs w:val="28"/>
        </w:rPr>
      </w:pPr>
      <w:r>
        <w:rPr>
          <w:rFonts w:hint="eastAsia"/>
          <w:kern w:val="2"/>
          <w:sz w:val="24"/>
          <w:szCs w:val="28"/>
        </w:rPr>
        <w:t>各位股东及股东代表：</w:t>
      </w:r>
    </w:p>
    <w:p w14:paraId="28B45685">
      <w:pPr>
        <w:pStyle w:val="4"/>
        <w:spacing w:line="360" w:lineRule="auto"/>
        <w:ind w:firstLine="480" w:firstLineChars="200"/>
        <w:jc w:val="both"/>
        <w:rPr>
          <w:rFonts w:ascii="宋体" w:hAnsi="宋体"/>
          <w:kern w:val="2"/>
          <w:sz w:val="24"/>
          <w:szCs w:val="28"/>
        </w:rPr>
      </w:pPr>
      <w:r>
        <w:rPr>
          <w:rFonts w:hint="eastAsia" w:ascii="宋体" w:hAnsi="宋体" w:cs="仿宋_GB2312"/>
          <w:sz w:val="24"/>
          <w:szCs w:val="28"/>
        </w:rPr>
        <w:t>近期，公司收到股东方马钢（集团）控股有限公司（以下简称“马钢集团”）函件，经马钢集团研究决定，推荐刘瑾（简历见附件二）为公司监事人选。</w:t>
      </w:r>
      <w:r>
        <w:rPr>
          <w:rFonts w:hint="eastAsia" w:ascii="宋体" w:hAnsi="宋体"/>
          <w:kern w:val="2"/>
          <w:sz w:val="24"/>
          <w:szCs w:val="28"/>
        </w:rPr>
        <w:t>任期自股东大会审议通过之日起至本届监事会届满之日止。</w:t>
      </w:r>
    </w:p>
    <w:p w14:paraId="047DBADC">
      <w:pPr>
        <w:pStyle w:val="4"/>
        <w:spacing w:line="360" w:lineRule="auto"/>
        <w:ind w:firstLine="480" w:firstLineChars="200"/>
        <w:jc w:val="both"/>
        <w:rPr>
          <w:rFonts w:hint="eastAsia"/>
          <w:kern w:val="2"/>
          <w:sz w:val="24"/>
          <w:szCs w:val="28"/>
        </w:rPr>
      </w:pPr>
      <w:r>
        <w:rPr>
          <w:rFonts w:hint="eastAsia"/>
          <w:kern w:val="2"/>
          <w:sz w:val="24"/>
          <w:szCs w:val="28"/>
        </w:rPr>
        <w:t>请各位股东及股东代表审议。</w:t>
      </w:r>
    </w:p>
    <w:p w14:paraId="1ED7E049">
      <w:pPr>
        <w:pStyle w:val="4"/>
        <w:spacing w:before="156" w:beforeLines="50" w:line="360" w:lineRule="auto"/>
        <w:ind w:firstLine="480" w:firstLineChars="200"/>
        <w:jc w:val="both"/>
        <w:rPr>
          <w:kern w:val="2"/>
          <w:sz w:val="24"/>
          <w:szCs w:val="28"/>
        </w:rPr>
      </w:pPr>
    </w:p>
    <w:p w14:paraId="0E51095C">
      <w:pPr>
        <w:pStyle w:val="4"/>
        <w:spacing w:line="360" w:lineRule="auto"/>
        <w:ind w:firstLine="480" w:firstLineChars="200"/>
        <w:jc w:val="both"/>
        <w:rPr>
          <w:kern w:val="2"/>
          <w:sz w:val="24"/>
          <w:szCs w:val="28"/>
        </w:rPr>
      </w:pPr>
    </w:p>
    <w:p w14:paraId="5C82876D">
      <w:pPr>
        <w:pStyle w:val="5"/>
        <w:spacing w:line="360" w:lineRule="auto"/>
        <w:ind w:firstLine="480" w:firstLineChars="200"/>
        <w:jc w:val="right"/>
        <w:rPr>
          <w:rFonts w:hAnsi="宋体" w:cs="仿宋_GB2312"/>
          <w:kern w:val="0"/>
          <w:sz w:val="24"/>
          <w:szCs w:val="32"/>
          <w:lang w:val="zh-CN" w:bidi="zh-CN"/>
        </w:rPr>
      </w:pPr>
      <w:r>
        <w:rPr>
          <w:rFonts w:hint="eastAsia" w:hAnsi="宋体" w:cs="仿宋_GB2312"/>
          <w:kern w:val="0"/>
          <w:sz w:val="24"/>
          <w:szCs w:val="32"/>
          <w:lang w:val="zh-CN" w:bidi="zh-CN"/>
        </w:rPr>
        <w:t>安徽华塑股份有限公司董事会</w:t>
      </w:r>
    </w:p>
    <w:p w14:paraId="47BFD9E7">
      <w:pPr>
        <w:pStyle w:val="5"/>
        <w:spacing w:line="360" w:lineRule="auto"/>
        <w:ind w:right="480" w:firstLine="480" w:firstLineChars="200"/>
        <w:jc w:val="right"/>
        <w:rPr>
          <w:rFonts w:hAnsi="宋体" w:cs="仿宋_GB2312"/>
          <w:kern w:val="0"/>
          <w:sz w:val="24"/>
          <w:szCs w:val="32"/>
          <w:lang w:val="zh-CN" w:bidi="zh-CN"/>
        </w:rPr>
      </w:pPr>
      <w:r>
        <w:rPr>
          <w:rFonts w:hint="eastAsia" w:hAnsi="宋体" w:cs="仿宋_GB2312"/>
          <w:kern w:val="0"/>
          <w:sz w:val="24"/>
          <w:szCs w:val="32"/>
          <w:lang w:val="zh-CN" w:bidi="zh-CN"/>
        </w:rPr>
        <w:t>2</w:t>
      </w:r>
      <w:r>
        <w:rPr>
          <w:rFonts w:hAnsi="宋体" w:cs="仿宋_GB2312"/>
          <w:kern w:val="0"/>
          <w:sz w:val="24"/>
          <w:szCs w:val="32"/>
          <w:lang w:val="zh-CN" w:bidi="zh-CN"/>
        </w:rPr>
        <w:t>025</w:t>
      </w:r>
      <w:r>
        <w:rPr>
          <w:rFonts w:hint="eastAsia" w:hAnsi="宋体" w:cs="仿宋_GB2312"/>
          <w:kern w:val="0"/>
          <w:sz w:val="24"/>
          <w:szCs w:val="32"/>
          <w:lang w:val="zh-CN" w:bidi="zh-CN"/>
        </w:rPr>
        <w:t>年</w:t>
      </w:r>
      <w:r>
        <w:rPr>
          <w:rFonts w:hAnsi="宋体" w:cs="仿宋_GB2312"/>
          <w:kern w:val="0"/>
          <w:sz w:val="24"/>
          <w:szCs w:val="32"/>
          <w:lang w:val="zh-CN" w:bidi="zh-CN"/>
        </w:rPr>
        <w:t>1</w:t>
      </w:r>
      <w:r>
        <w:rPr>
          <w:rFonts w:hint="eastAsia" w:hAnsi="宋体" w:cs="仿宋_GB2312"/>
          <w:kern w:val="0"/>
          <w:sz w:val="24"/>
          <w:szCs w:val="32"/>
          <w:lang w:val="zh-CN" w:bidi="zh-CN"/>
        </w:rPr>
        <w:t>月2</w:t>
      </w:r>
      <w:r>
        <w:rPr>
          <w:rFonts w:hAnsi="宋体" w:cs="仿宋_GB2312"/>
          <w:kern w:val="0"/>
          <w:sz w:val="24"/>
          <w:szCs w:val="32"/>
          <w:lang w:val="zh-CN" w:bidi="zh-CN"/>
        </w:rPr>
        <w:t>5</w:t>
      </w:r>
      <w:r>
        <w:rPr>
          <w:rFonts w:hint="eastAsia" w:hAnsi="宋体" w:cs="仿宋_GB2312"/>
          <w:kern w:val="0"/>
          <w:sz w:val="24"/>
          <w:szCs w:val="32"/>
          <w:lang w:val="zh-CN" w:bidi="zh-CN"/>
        </w:rPr>
        <w:t>日</w:t>
      </w:r>
    </w:p>
    <w:p w14:paraId="30296AC0">
      <w:pPr>
        <w:pStyle w:val="4"/>
        <w:spacing w:before="156" w:beforeLines="50" w:line="360" w:lineRule="auto"/>
        <w:ind w:firstLine="480" w:firstLineChars="200"/>
        <w:jc w:val="both"/>
        <w:rPr>
          <w:rFonts w:hint="eastAsia"/>
          <w:kern w:val="2"/>
          <w:sz w:val="24"/>
          <w:szCs w:val="28"/>
        </w:rPr>
      </w:pPr>
    </w:p>
    <w:p w14:paraId="3D73CB10">
      <w:pPr>
        <w:widowControl/>
        <w:jc w:val="left"/>
        <w:rPr>
          <w:rFonts w:ascii="宋体" w:hAnsi="宋体" w:eastAsia="宋体"/>
          <w:b/>
          <w:sz w:val="22"/>
          <w:szCs w:val="24"/>
        </w:rPr>
      </w:pPr>
      <w:r>
        <w:rPr>
          <w:rFonts w:ascii="宋体" w:hAnsi="宋体" w:eastAsia="宋体"/>
          <w:b/>
          <w:sz w:val="22"/>
          <w:szCs w:val="24"/>
        </w:rPr>
        <w:br w:type="page"/>
      </w:r>
    </w:p>
    <w:p w14:paraId="1003FC38">
      <w:pPr>
        <w:spacing w:before="156" w:beforeLines="50" w:line="360" w:lineRule="auto"/>
        <w:rPr>
          <w:rFonts w:ascii="宋体" w:hAnsi="宋体" w:eastAsia="宋体" w:cs="宋体"/>
          <w:sz w:val="24"/>
          <w:szCs w:val="24"/>
        </w:rPr>
      </w:pPr>
      <w:r>
        <w:rPr>
          <w:rFonts w:hint="eastAsia" w:ascii="宋体" w:hAnsi="宋体" w:eastAsia="宋体" w:cs="宋体"/>
          <w:b/>
          <w:bCs/>
          <w:sz w:val="24"/>
          <w:szCs w:val="24"/>
        </w:rPr>
        <w:t>附件二：非职工代表监事候选人简历</w:t>
      </w:r>
    </w:p>
    <w:p w14:paraId="00082815">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刘瑾</w:t>
      </w:r>
      <w:r>
        <w:rPr>
          <w:rFonts w:hint="eastAsia" w:ascii="宋体" w:hAnsi="宋体" w:eastAsia="宋体" w:cs="宋体"/>
          <w:sz w:val="24"/>
          <w:szCs w:val="24"/>
        </w:rPr>
        <w:t>，男，汉族，1988年2月生，</w:t>
      </w:r>
      <w:r>
        <w:rPr>
          <w:rFonts w:hint="eastAsia" w:ascii="宋体" w:hAnsi="宋体" w:eastAsia="宋体" w:cs="宋体"/>
          <w:sz w:val="24"/>
          <w:szCs w:val="24"/>
          <w:lang w:val="zh-CN"/>
        </w:rPr>
        <w:t>省委党校</w:t>
      </w:r>
      <w:r>
        <w:rPr>
          <w:rFonts w:hint="eastAsia" w:ascii="宋体" w:hAnsi="宋体" w:eastAsia="宋体" w:cs="宋体"/>
          <w:sz w:val="24"/>
          <w:szCs w:val="24"/>
        </w:rPr>
        <w:t>研究生。2010.07-2017.08先后在安徽芜湖三联锻造有限公司、马钢汽车板推进处汽车板研究所、马钢技术中心汽车板研究所等任职；2017.08-2022.11历任马钢纪委（监察审计部）科员、监察审计部副主任员、纪委主任纪检员、审计部、监事会秘书处办公室副主任；2022.11至今担任马钢审计部、监事会秘书处办公室主任。</w:t>
      </w:r>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1150019"/>
      <w:docPartObj>
        <w:docPartGallery w:val="AutoText"/>
      </w:docPartObj>
    </w:sdtPr>
    <w:sdtContent>
      <w:p w14:paraId="6FB17DAF">
        <w:pPr>
          <w:pStyle w:val="7"/>
          <w:jc w:val="center"/>
        </w:pPr>
        <w:r>
          <w:fldChar w:fldCharType="begin"/>
        </w:r>
        <w:r>
          <w:instrText xml:space="preserve">PAGE   \* MERGEFORMAT</w:instrText>
        </w:r>
        <w:r>
          <w:fldChar w:fldCharType="separate"/>
        </w:r>
        <w:r>
          <w:rPr>
            <w:lang w:val="zh-CN"/>
          </w:rPr>
          <w:t>3</w:t>
        </w:r>
        <w:r>
          <w:fldChar w:fldCharType="end"/>
        </w:r>
      </w:p>
    </w:sdtContent>
  </w:sdt>
  <w:p w14:paraId="4D433CA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5D0CA">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4CB5">
    <w:pPr>
      <w:pStyle w:val="7"/>
      <w:jc w:val="center"/>
    </w:pPr>
  </w:p>
  <w:p w14:paraId="1F025C89">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1893881"/>
      <w:docPartObj>
        <w:docPartGallery w:val="AutoText"/>
      </w:docPartObj>
    </w:sdtPr>
    <w:sdtContent>
      <w:p w14:paraId="65FF69A3">
        <w:pPr>
          <w:pStyle w:val="7"/>
          <w:jc w:val="center"/>
        </w:pPr>
        <w:r>
          <w:fldChar w:fldCharType="begin"/>
        </w:r>
        <w:r>
          <w:instrText xml:space="preserve">PAGE   \* MERGEFORMAT</w:instrText>
        </w:r>
        <w:r>
          <w:fldChar w:fldCharType="separate"/>
        </w:r>
        <w:r>
          <w:rPr>
            <w:lang w:val="zh-CN"/>
          </w:rPr>
          <w:t>12</w:t>
        </w:r>
        <w:r>
          <w:fldChar w:fldCharType="end"/>
        </w:r>
      </w:p>
    </w:sdtContent>
  </w:sdt>
  <w:p w14:paraId="4067212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B97C">
    <w:pPr>
      <w:pStyle w:val="8"/>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51AAC">
    <w:pPr>
      <w:pStyle w:val="8"/>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01080D"/>
    <w:multiLevelType w:val="multilevel"/>
    <w:tmpl w:val="6D01080D"/>
    <w:lvl w:ilvl="0" w:tentative="0">
      <w:start w:val="5"/>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AB"/>
    <w:rsid w:val="00005A7D"/>
    <w:rsid w:val="000106D6"/>
    <w:rsid w:val="0003318D"/>
    <w:rsid w:val="00034303"/>
    <w:rsid w:val="0004059F"/>
    <w:rsid w:val="00042085"/>
    <w:rsid w:val="000515ED"/>
    <w:rsid w:val="00051BA9"/>
    <w:rsid w:val="000558FF"/>
    <w:rsid w:val="00055B3E"/>
    <w:rsid w:val="000573F1"/>
    <w:rsid w:val="00063BC1"/>
    <w:rsid w:val="0006549C"/>
    <w:rsid w:val="000661AF"/>
    <w:rsid w:val="0006628B"/>
    <w:rsid w:val="00066A55"/>
    <w:rsid w:val="0006711A"/>
    <w:rsid w:val="0007261A"/>
    <w:rsid w:val="00073576"/>
    <w:rsid w:val="00082540"/>
    <w:rsid w:val="00083327"/>
    <w:rsid w:val="0009156B"/>
    <w:rsid w:val="000919EB"/>
    <w:rsid w:val="00096DF1"/>
    <w:rsid w:val="000A21C4"/>
    <w:rsid w:val="000A39D2"/>
    <w:rsid w:val="000A4814"/>
    <w:rsid w:val="000A5E12"/>
    <w:rsid w:val="000A64B0"/>
    <w:rsid w:val="000A6596"/>
    <w:rsid w:val="000B0853"/>
    <w:rsid w:val="000B0DE1"/>
    <w:rsid w:val="000B1A23"/>
    <w:rsid w:val="000B2010"/>
    <w:rsid w:val="000B281B"/>
    <w:rsid w:val="000B7228"/>
    <w:rsid w:val="000C15BF"/>
    <w:rsid w:val="000C66CB"/>
    <w:rsid w:val="000C675E"/>
    <w:rsid w:val="000C7EAF"/>
    <w:rsid w:val="000D3C2B"/>
    <w:rsid w:val="000D4FD0"/>
    <w:rsid w:val="000D5B2A"/>
    <w:rsid w:val="000E395E"/>
    <w:rsid w:val="000E4FA4"/>
    <w:rsid w:val="000E5BD6"/>
    <w:rsid w:val="000E7B92"/>
    <w:rsid w:val="000F21AE"/>
    <w:rsid w:val="000F2B62"/>
    <w:rsid w:val="00100EE4"/>
    <w:rsid w:val="00104708"/>
    <w:rsid w:val="001164B6"/>
    <w:rsid w:val="001206D9"/>
    <w:rsid w:val="001217C4"/>
    <w:rsid w:val="00123E79"/>
    <w:rsid w:val="00127AE9"/>
    <w:rsid w:val="00127DFB"/>
    <w:rsid w:val="001323DD"/>
    <w:rsid w:val="00135731"/>
    <w:rsid w:val="00141E59"/>
    <w:rsid w:val="00142A7B"/>
    <w:rsid w:val="00144A4F"/>
    <w:rsid w:val="00146105"/>
    <w:rsid w:val="00147588"/>
    <w:rsid w:val="00156275"/>
    <w:rsid w:val="001571DA"/>
    <w:rsid w:val="001610AB"/>
    <w:rsid w:val="0016189F"/>
    <w:rsid w:val="0016351C"/>
    <w:rsid w:val="00163774"/>
    <w:rsid w:val="001648EA"/>
    <w:rsid w:val="00167B53"/>
    <w:rsid w:val="00171F67"/>
    <w:rsid w:val="00172209"/>
    <w:rsid w:val="00172C29"/>
    <w:rsid w:val="00175E0E"/>
    <w:rsid w:val="00176E69"/>
    <w:rsid w:val="00176E80"/>
    <w:rsid w:val="00180268"/>
    <w:rsid w:val="00180EAA"/>
    <w:rsid w:val="00186918"/>
    <w:rsid w:val="00187EF6"/>
    <w:rsid w:val="00192008"/>
    <w:rsid w:val="001929E8"/>
    <w:rsid w:val="00192BD2"/>
    <w:rsid w:val="001978FD"/>
    <w:rsid w:val="001A0927"/>
    <w:rsid w:val="001A16A2"/>
    <w:rsid w:val="001B1605"/>
    <w:rsid w:val="001B2134"/>
    <w:rsid w:val="001B5CEF"/>
    <w:rsid w:val="001B7A29"/>
    <w:rsid w:val="001B7E00"/>
    <w:rsid w:val="001C6008"/>
    <w:rsid w:val="001D45E0"/>
    <w:rsid w:val="001D7936"/>
    <w:rsid w:val="001E05FC"/>
    <w:rsid w:val="001E2CE5"/>
    <w:rsid w:val="001F149C"/>
    <w:rsid w:val="001F5262"/>
    <w:rsid w:val="001F558C"/>
    <w:rsid w:val="001F6957"/>
    <w:rsid w:val="00200EA0"/>
    <w:rsid w:val="00203FCD"/>
    <w:rsid w:val="00204370"/>
    <w:rsid w:val="002057E9"/>
    <w:rsid w:val="002058EC"/>
    <w:rsid w:val="00211633"/>
    <w:rsid w:val="00214946"/>
    <w:rsid w:val="002150A3"/>
    <w:rsid w:val="00216C6F"/>
    <w:rsid w:val="0022251E"/>
    <w:rsid w:val="00222E80"/>
    <w:rsid w:val="00222E9C"/>
    <w:rsid w:val="0022336C"/>
    <w:rsid w:val="002235F8"/>
    <w:rsid w:val="00223B78"/>
    <w:rsid w:val="00233302"/>
    <w:rsid w:val="002349BB"/>
    <w:rsid w:val="00235652"/>
    <w:rsid w:val="00240DDC"/>
    <w:rsid w:val="00245A7F"/>
    <w:rsid w:val="00246132"/>
    <w:rsid w:val="0025096A"/>
    <w:rsid w:val="0025115A"/>
    <w:rsid w:val="002538EB"/>
    <w:rsid w:val="0025485F"/>
    <w:rsid w:val="00255233"/>
    <w:rsid w:val="00255D62"/>
    <w:rsid w:val="00256092"/>
    <w:rsid w:val="002611A4"/>
    <w:rsid w:val="002657A5"/>
    <w:rsid w:val="00266F23"/>
    <w:rsid w:val="00267BE6"/>
    <w:rsid w:val="00272694"/>
    <w:rsid w:val="00273E40"/>
    <w:rsid w:val="0027764C"/>
    <w:rsid w:val="002826B7"/>
    <w:rsid w:val="002858E4"/>
    <w:rsid w:val="00287ADE"/>
    <w:rsid w:val="00290047"/>
    <w:rsid w:val="002937BE"/>
    <w:rsid w:val="002965E7"/>
    <w:rsid w:val="002A7C87"/>
    <w:rsid w:val="002B0C63"/>
    <w:rsid w:val="002B243B"/>
    <w:rsid w:val="002B4988"/>
    <w:rsid w:val="002B724C"/>
    <w:rsid w:val="002C2EA6"/>
    <w:rsid w:val="002C6FC5"/>
    <w:rsid w:val="002E2438"/>
    <w:rsid w:val="002E6B15"/>
    <w:rsid w:val="002F4526"/>
    <w:rsid w:val="002F5241"/>
    <w:rsid w:val="002F612E"/>
    <w:rsid w:val="002F7706"/>
    <w:rsid w:val="00302294"/>
    <w:rsid w:val="003050C9"/>
    <w:rsid w:val="0030620B"/>
    <w:rsid w:val="00311224"/>
    <w:rsid w:val="003121E3"/>
    <w:rsid w:val="00315D08"/>
    <w:rsid w:val="00320196"/>
    <w:rsid w:val="0032057D"/>
    <w:rsid w:val="00331035"/>
    <w:rsid w:val="0033631B"/>
    <w:rsid w:val="00341905"/>
    <w:rsid w:val="00342267"/>
    <w:rsid w:val="00344857"/>
    <w:rsid w:val="00345AFB"/>
    <w:rsid w:val="00351F5F"/>
    <w:rsid w:val="00352D70"/>
    <w:rsid w:val="00353330"/>
    <w:rsid w:val="00353E64"/>
    <w:rsid w:val="003552AD"/>
    <w:rsid w:val="00362CD1"/>
    <w:rsid w:val="00366ED3"/>
    <w:rsid w:val="00367040"/>
    <w:rsid w:val="003703C7"/>
    <w:rsid w:val="003732BC"/>
    <w:rsid w:val="003739B3"/>
    <w:rsid w:val="00374D8B"/>
    <w:rsid w:val="00376017"/>
    <w:rsid w:val="0037710E"/>
    <w:rsid w:val="00382F00"/>
    <w:rsid w:val="00387139"/>
    <w:rsid w:val="00390768"/>
    <w:rsid w:val="00391C9F"/>
    <w:rsid w:val="003A5F91"/>
    <w:rsid w:val="003B084E"/>
    <w:rsid w:val="003B5565"/>
    <w:rsid w:val="003B6825"/>
    <w:rsid w:val="003C0550"/>
    <w:rsid w:val="003C1F02"/>
    <w:rsid w:val="003C4E5F"/>
    <w:rsid w:val="003C7404"/>
    <w:rsid w:val="003D2E38"/>
    <w:rsid w:val="003D3429"/>
    <w:rsid w:val="003D3838"/>
    <w:rsid w:val="003D4A87"/>
    <w:rsid w:val="003D538C"/>
    <w:rsid w:val="003E2686"/>
    <w:rsid w:val="003E5D24"/>
    <w:rsid w:val="003F099A"/>
    <w:rsid w:val="003F2F89"/>
    <w:rsid w:val="003F6200"/>
    <w:rsid w:val="003F69BE"/>
    <w:rsid w:val="004009FF"/>
    <w:rsid w:val="00400A4B"/>
    <w:rsid w:val="00400BD4"/>
    <w:rsid w:val="00405340"/>
    <w:rsid w:val="00411D70"/>
    <w:rsid w:val="004144A9"/>
    <w:rsid w:val="004208E5"/>
    <w:rsid w:val="0042109F"/>
    <w:rsid w:val="00421B82"/>
    <w:rsid w:val="00436C37"/>
    <w:rsid w:val="004379D2"/>
    <w:rsid w:val="00437D31"/>
    <w:rsid w:val="00437E9E"/>
    <w:rsid w:val="0044073B"/>
    <w:rsid w:val="0044164F"/>
    <w:rsid w:val="00441C8D"/>
    <w:rsid w:val="00441D53"/>
    <w:rsid w:val="00450ECB"/>
    <w:rsid w:val="00452484"/>
    <w:rsid w:val="00453FCD"/>
    <w:rsid w:val="004576DC"/>
    <w:rsid w:val="00457768"/>
    <w:rsid w:val="00461EA5"/>
    <w:rsid w:val="004646D7"/>
    <w:rsid w:val="00467E30"/>
    <w:rsid w:val="0047712E"/>
    <w:rsid w:val="00483540"/>
    <w:rsid w:val="00483AD2"/>
    <w:rsid w:val="004953A7"/>
    <w:rsid w:val="004977AC"/>
    <w:rsid w:val="004A0523"/>
    <w:rsid w:val="004A2EBC"/>
    <w:rsid w:val="004A4920"/>
    <w:rsid w:val="004A5533"/>
    <w:rsid w:val="004B38CB"/>
    <w:rsid w:val="004B5F8C"/>
    <w:rsid w:val="004B6A79"/>
    <w:rsid w:val="004B6FB0"/>
    <w:rsid w:val="004C04E6"/>
    <w:rsid w:val="004C1925"/>
    <w:rsid w:val="004C1D0C"/>
    <w:rsid w:val="004C26F9"/>
    <w:rsid w:val="004D345F"/>
    <w:rsid w:val="004D4282"/>
    <w:rsid w:val="004E127A"/>
    <w:rsid w:val="004F3024"/>
    <w:rsid w:val="004F4186"/>
    <w:rsid w:val="0050034F"/>
    <w:rsid w:val="00500E70"/>
    <w:rsid w:val="00502CF8"/>
    <w:rsid w:val="005073AD"/>
    <w:rsid w:val="00511693"/>
    <w:rsid w:val="00522045"/>
    <w:rsid w:val="0052438E"/>
    <w:rsid w:val="005273E1"/>
    <w:rsid w:val="0052788F"/>
    <w:rsid w:val="005342A8"/>
    <w:rsid w:val="0053472E"/>
    <w:rsid w:val="0054272C"/>
    <w:rsid w:val="005460B5"/>
    <w:rsid w:val="00552AEE"/>
    <w:rsid w:val="0055363B"/>
    <w:rsid w:val="00554235"/>
    <w:rsid w:val="0055783F"/>
    <w:rsid w:val="005616F9"/>
    <w:rsid w:val="00571DEF"/>
    <w:rsid w:val="00571E16"/>
    <w:rsid w:val="00572F02"/>
    <w:rsid w:val="005760F1"/>
    <w:rsid w:val="0057748D"/>
    <w:rsid w:val="005779A8"/>
    <w:rsid w:val="005779B1"/>
    <w:rsid w:val="00586BCE"/>
    <w:rsid w:val="0059419A"/>
    <w:rsid w:val="00596580"/>
    <w:rsid w:val="005A0377"/>
    <w:rsid w:val="005A22A1"/>
    <w:rsid w:val="005A3551"/>
    <w:rsid w:val="005A3A87"/>
    <w:rsid w:val="005B2BE3"/>
    <w:rsid w:val="005B346D"/>
    <w:rsid w:val="005B4D6E"/>
    <w:rsid w:val="005B4EFA"/>
    <w:rsid w:val="005C0761"/>
    <w:rsid w:val="005C0CBD"/>
    <w:rsid w:val="005C672B"/>
    <w:rsid w:val="005C7264"/>
    <w:rsid w:val="005D0044"/>
    <w:rsid w:val="005D0872"/>
    <w:rsid w:val="005D76A4"/>
    <w:rsid w:val="005E00A7"/>
    <w:rsid w:val="005E2C65"/>
    <w:rsid w:val="005E451B"/>
    <w:rsid w:val="005E4A1E"/>
    <w:rsid w:val="005E533F"/>
    <w:rsid w:val="005E59DB"/>
    <w:rsid w:val="005E6572"/>
    <w:rsid w:val="005E7598"/>
    <w:rsid w:val="005F290A"/>
    <w:rsid w:val="005F4DE4"/>
    <w:rsid w:val="005F6B4B"/>
    <w:rsid w:val="00600317"/>
    <w:rsid w:val="00600859"/>
    <w:rsid w:val="00602413"/>
    <w:rsid w:val="00605A6F"/>
    <w:rsid w:val="00607388"/>
    <w:rsid w:val="006103E1"/>
    <w:rsid w:val="00615EDD"/>
    <w:rsid w:val="006172E6"/>
    <w:rsid w:val="00617FEA"/>
    <w:rsid w:val="00620EC3"/>
    <w:rsid w:val="00624E45"/>
    <w:rsid w:val="006324D7"/>
    <w:rsid w:val="00633D77"/>
    <w:rsid w:val="0064617D"/>
    <w:rsid w:val="00646839"/>
    <w:rsid w:val="00647BD3"/>
    <w:rsid w:val="00653C57"/>
    <w:rsid w:val="00655851"/>
    <w:rsid w:val="0065605C"/>
    <w:rsid w:val="006561B9"/>
    <w:rsid w:val="00660194"/>
    <w:rsid w:val="006630BA"/>
    <w:rsid w:val="0066576C"/>
    <w:rsid w:val="006660B3"/>
    <w:rsid w:val="0066748D"/>
    <w:rsid w:val="00670FB9"/>
    <w:rsid w:val="00675413"/>
    <w:rsid w:val="00677F16"/>
    <w:rsid w:val="0068053A"/>
    <w:rsid w:val="00680646"/>
    <w:rsid w:val="00680FE1"/>
    <w:rsid w:val="006830E7"/>
    <w:rsid w:val="006841FF"/>
    <w:rsid w:val="00687636"/>
    <w:rsid w:val="00695945"/>
    <w:rsid w:val="00696729"/>
    <w:rsid w:val="00696C1C"/>
    <w:rsid w:val="006A032F"/>
    <w:rsid w:val="006A0A78"/>
    <w:rsid w:val="006C7EC5"/>
    <w:rsid w:val="006D04B9"/>
    <w:rsid w:val="006D73B6"/>
    <w:rsid w:val="006E0093"/>
    <w:rsid w:val="006E1103"/>
    <w:rsid w:val="006E7DFD"/>
    <w:rsid w:val="006F2D0F"/>
    <w:rsid w:val="006F47CD"/>
    <w:rsid w:val="006F53B7"/>
    <w:rsid w:val="006F7C0E"/>
    <w:rsid w:val="006F7D07"/>
    <w:rsid w:val="00701795"/>
    <w:rsid w:val="00720603"/>
    <w:rsid w:val="00721B82"/>
    <w:rsid w:val="00724375"/>
    <w:rsid w:val="00724CA0"/>
    <w:rsid w:val="007265A0"/>
    <w:rsid w:val="00732912"/>
    <w:rsid w:val="00733DF6"/>
    <w:rsid w:val="00736A95"/>
    <w:rsid w:val="007419AE"/>
    <w:rsid w:val="007427D2"/>
    <w:rsid w:val="00745F36"/>
    <w:rsid w:val="00747C50"/>
    <w:rsid w:val="00755224"/>
    <w:rsid w:val="007628DD"/>
    <w:rsid w:val="0076674B"/>
    <w:rsid w:val="00766FD3"/>
    <w:rsid w:val="00767FA7"/>
    <w:rsid w:val="00774030"/>
    <w:rsid w:val="007751A9"/>
    <w:rsid w:val="0078148C"/>
    <w:rsid w:val="00785E80"/>
    <w:rsid w:val="00786100"/>
    <w:rsid w:val="00787972"/>
    <w:rsid w:val="00791A6F"/>
    <w:rsid w:val="007922AA"/>
    <w:rsid w:val="0079264B"/>
    <w:rsid w:val="00792704"/>
    <w:rsid w:val="007955F3"/>
    <w:rsid w:val="00796682"/>
    <w:rsid w:val="00797511"/>
    <w:rsid w:val="007A4FC5"/>
    <w:rsid w:val="007A689D"/>
    <w:rsid w:val="007B1417"/>
    <w:rsid w:val="007B3384"/>
    <w:rsid w:val="007B33ED"/>
    <w:rsid w:val="007B3DD0"/>
    <w:rsid w:val="007C172F"/>
    <w:rsid w:val="007D4E6F"/>
    <w:rsid w:val="007D55B1"/>
    <w:rsid w:val="007D62D5"/>
    <w:rsid w:val="007E00C5"/>
    <w:rsid w:val="007E3A54"/>
    <w:rsid w:val="007E43D3"/>
    <w:rsid w:val="007E64A2"/>
    <w:rsid w:val="007F16E6"/>
    <w:rsid w:val="007F3620"/>
    <w:rsid w:val="007F6556"/>
    <w:rsid w:val="008019C0"/>
    <w:rsid w:val="00803F97"/>
    <w:rsid w:val="0080615A"/>
    <w:rsid w:val="00811915"/>
    <w:rsid w:val="008214D4"/>
    <w:rsid w:val="00821B7A"/>
    <w:rsid w:val="00824719"/>
    <w:rsid w:val="00824B4C"/>
    <w:rsid w:val="008264F3"/>
    <w:rsid w:val="008266F7"/>
    <w:rsid w:val="00831493"/>
    <w:rsid w:val="00832571"/>
    <w:rsid w:val="00844005"/>
    <w:rsid w:val="00845341"/>
    <w:rsid w:val="00851428"/>
    <w:rsid w:val="00854279"/>
    <w:rsid w:val="008643A9"/>
    <w:rsid w:val="00864D79"/>
    <w:rsid w:val="00866309"/>
    <w:rsid w:val="00874CE6"/>
    <w:rsid w:val="00876A8B"/>
    <w:rsid w:val="00883E82"/>
    <w:rsid w:val="008847CB"/>
    <w:rsid w:val="00884FD8"/>
    <w:rsid w:val="008850DF"/>
    <w:rsid w:val="00886A7F"/>
    <w:rsid w:val="00886E65"/>
    <w:rsid w:val="00887B24"/>
    <w:rsid w:val="008944E5"/>
    <w:rsid w:val="0089589F"/>
    <w:rsid w:val="00897671"/>
    <w:rsid w:val="00897C49"/>
    <w:rsid w:val="008A260E"/>
    <w:rsid w:val="008B384E"/>
    <w:rsid w:val="008B5A18"/>
    <w:rsid w:val="008C226C"/>
    <w:rsid w:val="008C5AAF"/>
    <w:rsid w:val="008D1468"/>
    <w:rsid w:val="008D42F1"/>
    <w:rsid w:val="008E439C"/>
    <w:rsid w:val="008E5CF1"/>
    <w:rsid w:val="008E6995"/>
    <w:rsid w:val="008F004F"/>
    <w:rsid w:val="008F1EAD"/>
    <w:rsid w:val="008F1F7D"/>
    <w:rsid w:val="008F5E2D"/>
    <w:rsid w:val="008F667C"/>
    <w:rsid w:val="00900773"/>
    <w:rsid w:val="00903261"/>
    <w:rsid w:val="00904479"/>
    <w:rsid w:val="00904F6D"/>
    <w:rsid w:val="00906971"/>
    <w:rsid w:val="009110A8"/>
    <w:rsid w:val="009119E7"/>
    <w:rsid w:val="009156B8"/>
    <w:rsid w:val="00916161"/>
    <w:rsid w:val="0092134D"/>
    <w:rsid w:val="00927C01"/>
    <w:rsid w:val="009324CD"/>
    <w:rsid w:val="00936300"/>
    <w:rsid w:val="009418FF"/>
    <w:rsid w:val="00942919"/>
    <w:rsid w:val="00943B9F"/>
    <w:rsid w:val="009448F6"/>
    <w:rsid w:val="009456A3"/>
    <w:rsid w:val="00950C60"/>
    <w:rsid w:val="009570D1"/>
    <w:rsid w:val="009618B1"/>
    <w:rsid w:val="00965E95"/>
    <w:rsid w:val="00966016"/>
    <w:rsid w:val="00972BC1"/>
    <w:rsid w:val="00973500"/>
    <w:rsid w:val="00973845"/>
    <w:rsid w:val="00975099"/>
    <w:rsid w:val="0097525A"/>
    <w:rsid w:val="009814A2"/>
    <w:rsid w:val="00985022"/>
    <w:rsid w:val="00995FBD"/>
    <w:rsid w:val="009A0B9B"/>
    <w:rsid w:val="009A240F"/>
    <w:rsid w:val="009A4171"/>
    <w:rsid w:val="009A5EB8"/>
    <w:rsid w:val="009B0DE5"/>
    <w:rsid w:val="009B2171"/>
    <w:rsid w:val="009B4682"/>
    <w:rsid w:val="009B6E87"/>
    <w:rsid w:val="009B7D19"/>
    <w:rsid w:val="009C12F5"/>
    <w:rsid w:val="009C4F9E"/>
    <w:rsid w:val="009C6121"/>
    <w:rsid w:val="009C62AB"/>
    <w:rsid w:val="009D026D"/>
    <w:rsid w:val="009D3254"/>
    <w:rsid w:val="009D3344"/>
    <w:rsid w:val="009D4BFC"/>
    <w:rsid w:val="009D75A2"/>
    <w:rsid w:val="009E0442"/>
    <w:rsid w:val="009E090C"/>
    <w:rsid w:val="009E0C0B"/>
    <w:rsid w:val="009E13E4"/>
    <w:rsid w:val="009E2C21"/>
    <w:rsid w:val="009E458B"/>
    <w:rsid w:val="009E4BDE"/>
    <w:rsid w:val="009E7FA3"/>
    <w:rsid w:val="009F0BE0"/>
    <w:rsid w:val="009F2741"/>
    <w:rsid w:val="009F7928"/>
    <w:rsid w:val="00A005ED"/>
    <w:rsid w:val="00A01BBE"/>
    <w:rsid w:val="00A02538"/>
    <w:rsid w:val="00A04CA6"/>
    <w:rsid w:val="00A0574C"/>
    <w:rsid w:val="00A06449"/>
    <w:rsid w:val="00A10532"/>
    <w:rsid w:val="00A12707"/>
    <w:rsid w:val="00A14AB4"/>
    <w:rsid w:val="00A251E7"/>
    <w:rsid w:val="00A2562D"/>
    <w:rsid w:val="00A256DB"/>
    <w:rsid w:val="00A27B69"/>
    <w:rsid w:val="00A307CA"/>
    <w:rsid w:val="00A32F64"/>
    <w:rsid w:val="00A33BDE"/>
    <w:rsid w:val="00A34119"/>
    <w:rsid w:val="00A34FEB"/>
    <w:rsid w:val="00A359A7"/>
    <w:rsid w:val="00A43888"/>
    <w:rsid w:val="00A43EE6"/>
    <w:rsid w:val="00A44DAF"/>
    <w:rsid w:val="00A45C09"/>
    <w:rsid w:val="00A46420"/>
    <w:rsid w:val="00A50C89"/>
    <w:rsid w:val="00A53518"/>
    <w:rsid w:val="00A60B3E"/>
    <w:rsid w:val="00A60BD5"/>
    <w:rsid w:val="00A62409"/>
    <w:rsid w:val="00A659B4"/>
    <w:rsid w:val="00A6657B"/>
    <w:rsid w:val="00A70C88"/>
    <w:rsid w:val="00A719CC"/>
    <w:rsid w:val="00A71EE1"/>
    <w:rsid w:val="00A737F0"/>
    <w:rsid w:val="00A760F4"/>
    <w:rsid w:val="00A824EB"/>
    <w:rsid w:val="00A85CAE"/>
    <w:rsid w:val="00A874BF"/>
    <w:rsid w:val="00A8798D"/>
    <w:rsid w:val="00A92115"/>
    <w:rsid w:val="00A92D3E"/>
    <w:rsid w:val="00A92EE4"/>
    <w:rsid w:val="00AA27B5"/>
    <w:rsid w:val="00AA74B6"/>
    <w:rsid w:val="00AB1592"/>
    <w:rsid w:val="00AB3A69"/>
    <w:rsid w:val="00AC1C1B"/>
    <w:rsid w:val="00AC78DF"/>
    <w:rsid w:val="00AD374C"/>
    <w:rsid w:val="00AE000C"/>
    <w:rsid w:val="00AE6353"/>
    <w:rsid w:val="00AE6766"/>
    <w:rsid w:val="00AF363D"/>
    <w:rsid w:val="00B01505"/>
    <w:rsid w:val="00B05C5F"/>
    <w:rsid w:val="00B07767"/>
    <w:rsid w:val="00B12CB5"/>
    <w:rsid w:val="00B1449F"/>
    <w:rsid w:val="00B146BE"/>
    <w:rsid w:val="00B15F25"/>
    <w:rsid w:val="00B179AB"/>
    <w:rsid w:val="00B24A7A"/>
    <w:rsid w:val="00B2793B"/>
    <w:rsid w:val="00B27C75"/>
    <w:rsid w:val="00B3213F"/>
    <w:rsid w:val="00B33673"/>
    <w:rsid w:val="00B33793"/>
    <w:rsid w:val="00B343DD"/>
    <w:rsid w:val="00B379F1"/>
    <w:rsid w:val="00B436FA"/>
    <w:rsid w:val="00B46E99"/>
    <w:rsid w:val="00B52748"/>
    <w:rsid w:val="00B546BF"/>
    <w:rsid w:val="00B54730"/>
    <w:rsid w:val="00B57122"/>
    <w:rsid w:val="00B6163D"/>
    <w:rsid w:val="00B65153"/>
    <w:rsid w:val="00B67204"/>
    <w:rsid w:val="00B7112D"/>
    <w:rsid w:val="00B71A73"/>
    <w:rsid w:val="00B748FF"/>
    <w:rsid w:val="00B81148"/>
    <w:rsid w:val="00B83915"/>
    <w:rsid w:val="00B83B55"/>
    <w:rsid w:val="00B87FB4"/>
    <w:rsid w:val="00B967BF"/>
    <w:rsid w:val="00BA4622"/>
    <w:rsid w:val="00BA7000"/>
    <w:rsid w:val="00BB15FE"/>
    <w:rsid w:val="00BC3F0D"/>
    <w:rsid w:val="00BE16CD"/>
    <w:rsid w:val="00BE1A7C"/>
    <w:rsid w:val="00BE2584"/>
    <w:rsid w:val="00BE39DC"/>
    <w:rsid w:val="00BE4C0A"/>
    <w:rsid w:val="00BE568D"/>
    <w:rsid w:val="00BF1D94"/>
    <w:rsid w:val="00BF27F5"/>
    <w:rsid w:val="00BF46EE"/>
    <w:rsid w:val="00C00D65"/>
    <w:rsid w:val="00C01258"/>
    <w:rsid w:val="00C04BF7"/>
    <w:rsid w:val="00C053D1"/>
    <w:rsid w:val="00C1197D"/>
    <w:rsid w:val="00C207EC"/>
    <w:rsid w:val="00C22383"/>
    <w:rsid w:val="00C26ADC"/>
    <w:rsid w:val="00C27171"/>
    <w:rsid w:val="00C304BC"/>
    <w:rsid w:val="00C32068"/>
    <w:rsid w:val="00C32525"/>
    <w:rsid w:val="00C37CA8"/>
    <w:rsid w:val="00C413BD"/>
    <w:rsid w:val="00C4151D"/>
    <w:rsid w:val="00C5045D"/>
    <w:rsid w:val="00C520D0"/>
    <w:rsid w:val="00C52FDF"/>
    <w:rsid w:val="00C5597F"/>
    <w:rsid w:val="00C60FBB"/>
    <w:rsid w:val="00C61078"/>
    <w:rsid w:val="00C62A69"/>
    <w:rsid w:val="00C66099"/>
    <w:rsid w:val="00C670CF"/>
    <w:rsid w:val="00C67CB7"/>
    <w:rsid w:val="00C709D0"/>
    <w:rsid w:val="00C71055"/>
    <w:rsid w:val="00C73721"/>
    <w:rsid w:val="00C82B24"/>
    <w:rsid w:val="00C84FA7"/>
    <w:rsid w:val="00C86D28"/>
    <w:rsid w:val="00C93187"/>
    <w:rsid w:val="00C9348C"/>
    <w:rsid w:val="00C961A3"/>
    <w:rsid w:val="00CA04A4"/>
    <w:rsid w:val="00CA1E19"/>
    <w:rsid w:val="00CA4053"/>
    <w:rsid w:val="00CA488B"/>
    <w:rsid w:val="00CA4D54"/>
    <w:rsid w:val="00CB1250"/>
    <w:rsid w:val="00CB38DE"/>
    <w:rsid w:val="00CC18C3"/>
    <w:rsid w:val="00CC2F6E"/>
    <w:rsid w:val="00CC36B8"/>
    <w:rsid w:val="00CC7016"/>
    <w:rsid w:val="00CD3718"/>
    <w:rsid w:val="00CD4EE4"/>
    <w:rsid w:val="00CD6077"/>
    <w:rsid w:val="00CD7B12"/>
    <w:rsid w:val="00CE1435"/>
    <w:rsid w:val="00CE1F40"/>
    <w:rsid w:val="00CE30AC"/>
    <w:rsid w:val="00CE419D"/>
    <w:rsid w:val="00CF692E"/>
    <w:rsid w:val="00CF6A8B"/>
    <w:rsid w:val="00D00A5F"/>
    <w:rsid w:val="00D02A66"/>
    <w:rsid w:val="00D03E26"/>
    <w:rsid w:val="00D12CBC"/>
    <w:rsid w:val="00D12E0C"/>
    <w:rsid w:val="00D13212"/>
    <w:rsid w:val="00D13A23"/>
    <w:rsid w:val="00D145F4"/>
    <w:rsid w:val="00D164C4"/>
    <w:rsid w:val="00D258C3"/>
    <w:rsid w:val="00D31595"/>
    <w:rsid w:val="00D31D76"/>
    <w:rsid w:val="00D32C26"/>
    <w:rsid w:val="00D35AA4"/>
    <w:rsid w:val="00D375F3"/>
    <w:rsid w:val="00D40EAB"/>
    <w:rsid w:val="00D40F4E"/>
    <w:rsid w:val="00D41678"/>
    <w:rsid w:val="00D42625"/>
    <w:rsid w:val="00D4497C"/>
    <w:rsid w:val="00D45696"/>
    <w:rsid w:val="00D51339"/>
    <w:rsid w:val="00D531A6"/>
    <w:rsid w:val="00D540C7"/>
    <w:rsid w:val="00D63AE6"/>
    <w:rsid w:val="00D70083"/>
    <w:rsid w:val="00D704B5"/>
    <w:rsid w:val="00D73093"/>
    <w:rsid w:val="00D75116"/>
    <w:rsid w:val="00D80FD8"/>
    <w:rsid w:val="00D90243"/>
    <w:rsid w:val="00D92E28"/>
    <w:rsid w:val="00D93457"/>
    <w:rsid w:val="00D95002"/>
    <w:rsid w:val="00D96647"/>
    <w:rsid w:val="00DA081D"/>
    <w:rsid w:val="00DA2FFF"/>
    <w:rsid w:val="00DA493A"/>
    <w:rsid w:val="00DA51B4"/>
    <w:rsid w:val="00DA7F6D"/>
    <w:rsid w:val="00DB5700"/>
    <w:rsid w:val="00DB632B"/>
    <w:rsid w:val="00DB742D"/>
    <w:rsid w:val="00DB766E"/>
    <w:rsid w:val="00DC2799"/>
    <w:rsid w:val="00DC373F"/>
    <w:rsid w:val="00DC5890"/>
    <w:rsid w:val="00DC5DB7"/>
    <w:rsid w:val="00DC6E8E"/>
    <w:rsid w:val="00DD5B61"/>
    <w:rsid w:val="00DD5C07"/>
    <w:rsid w:val="00DE0710"/>
    <w:rsid w:val="00DE0DC6"/>
    <w:rsid w:val="00DE2D0A"/>
    <w:rsid w:val="00DF0428"/>
    <w:rsid w:val="00DF1AF6"/>
    <w:rsid w:val="00DF2119"/>
    <w:rsid w:val="00E01914"/>
    <w:rsid w:val="00E06745"/>
    <w:rsid w:val="00E07B3F"/>
    <w:rsid w:val="00E150D4"/>
    <w:rsid w:val="00E151BD"/>
    <w:rsid w:val="00E15A14"/>
    <w:rsid w:val="00E17D52"/>
    <w:rsid w:val="00E324D4"/>
    <w:rsid w:val="00E35548"/>
    <w:rsid w:val="00E361A4"/>
    <w:rsid w:val="00E4296E"/>
    <w:rsid w:val="00E43B79"/>
    <w:rsid w:val="00E44BF4"/>
    <w:rsid w:val="00E611E0"/>
    <w:rsid w:val="00E701F3"/>
    <w:rsid w:val="00E71986"/>
    <w:rsid w:val="00E724F7"/>
    <w:rsid w:val="00E731AB"/>
    <w:rsid w:val="00E73ED8"/>
    <w:rsid w:val="00E74000"/>
    <w:rsid w:val="00E7561C"/>
    <w:rsid w:val="00E759CC"/>
    <w:rsid w:val="00E75B70"/>
    <w:rsid w:val="00E811FB"/>
    <w:rsid w:val="00E81B85"/>
    <w:rsid w:val="00E903EB"/>
    <w:rsid w:val="00E91D1B"/>
    <w:rsid w:val="00E9218B"/>
    <w:rsid w:val="00E94440"/>
    <w:rsid w:val="00E95A4B"/>
    <w:rsid w:val="00EA2454"/>
    <w:rsid w:val="00EA4455"/>
    <w:rsid w:val="00EA59AD"/>
    <w:rsid w:val="00EB1167"/>
    <w:rsid w:val="00EB280A"/>
    <w:rsid w:val="00EB4300"/>
    <w:rsid w:val="00EC0D63"/>
    <w:rsid w:val="00EC2F61"/>
    <w:rsid w:val="00EC3448"/>
    <w:rsid w:val="00EC4A38"/>
    <w:rsid w:val="00EC4CCE"/>
    <w:rsid w:val="00ED17CF"/>
    <w:rsid w:val="00ED61E9"/>
    <w:rsid w:val="00ED641A"/>
    <w:rsid w:val="00EE3883"/>
    <w:rsid w:val="00EE39E0"/>
    <w:rsid w:val="00EE686F"/>
    <w:rsid w:val="00EE6872"/>
    <w:rsid w:val="00EE71DF"/>
    <w:rsid w:val="00EE744B"/>
    <w:rsid w:val="00EE781C"/>
    <w:rsid w:val="00EE794B"/>
    <w:rsid w:val="00EF1B8E"/>
    <w:rsid w:val="00EF3118"/>
    <w:rsid w:val="00EF639A"/>
    <w:rsid w:val="00EF6BBC"/>
    <w:rsid w:val="00F00DE5"/>
    <w:rsid w:val="00F05B06"/>
    <w:rsid w:val="00F12B12"/>
    <w:rsid w:val="00F12F58"/>
    <w:rsid w:val="00F13ADE"/>
    <w:rsid w:val="00F146FB"/>
    <w:rsid w:val="00F14E0F"/>
    <w:rsid w:val="00F154BE"/>
    <w:rsid w:val="00F16656"/>
    <w:rsid w:val="00F16978"/>
    <w:rsid w:val="00F1761B"/>
    <w:rsid w:val="00F2390B"/>
    <w:rsid w:val="00F24CE8"/>
    <w:rsid w:val="00F25815"/>
    <w:rsid w:val="00F27567"/>
    <w:rsid w:val="00F33613"/>
    <w:rsid w:val="00F42E64"/>
    <w:rsid w:val="00F43094"/>
    <w:rsid w:val="00F43A08"/>
    <w:rsid w:val="00F451B7"/>
    <w:rsid w:val="00F52E2A"/>
    <w:rsid w:val="00F52ECC"/>
    <w:rsid w:val="00F533A8"/>
    <w:rsid w:val="00F53EA8"/>
    <w:rsid w:val="00F546B9"/>
    <w:rsid w:val="00F5673A"/>
    <w:rsid w:val="00F56E7A"/>
    <w:rsid w:val="00F64F54"/>
    <w:rsid w:val="00F66B83"/>
    <w:rsid w:val="00F70C9E"/>
    <w:rsid w:val="00F711B0"/>
    <w:rsid w:val="00F71D66"/>
    <w:rsid w:val="00F73CD2"/>
    <w:rsid w:val="00F74C52"/>
    <w:rsid w:val="00F8166F"/>
    <w:rsid w:val="00F844BF"/>
    <w:rsid w:val="00F90319"/>
    <w:rsid w:val="00F91FDD"/>
    <w:rsid w:val="00F946B5"/>
    <w:rsid w:val="00F94A20"/>
    <w:rsid w:val="00F94AD5"/>
    <w:rsid w:val="00F94EDB"/>
    <w:rsid w:val="00FA5B2D"/>
    <w:rsid w:val="00FB1470"/>
    <w:rsid w:val="00FB3DDC"/>
    <w:rsid w:val="00FB5327"/>
    <w:rsid w:val="00FB53AA"/>
    <w:rsid w:val="00FB5A9B"/>
    <w:rsid w:val="00FB6514"/>
    <w:rsid w:val="00FB716F"/>
    <w:rsid w:val="00FC02D5"/>
    <w:rsid w:val="00FC1F25"/>
    <w:rsid w:val="00FC7796"/>
    <w:rsid w:val="00FD000E"/>
    <w:rsid w:val="00FD108A"/>
    <w:rsid w:val="00FD2029"/>
    <w:rsid w:val="00FD39EF"/>
    <w:rsid w:val="00FE34FD"/>
    <w:rsid w:val="00FE3571"/>
    <w:rsid w:val="00FF0288"/>
    <w:rsid w:val="00FF1CB8"/>
    <w:rsid w:val="00FF1F29"/>
    <w:rsid w:val="00FF39C0"/>
    <w:rsid w:val="00FF3F18"/>
    <w:rsid w:val="00FF448E"/>
    <w:rsid w:val="00FF5202"/>
    <w:rsid w:val="00FF6C4D"/>
    <w:rsid w:val="29B10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rFonts w:ascii="Calibri" w:hAnsi="Calibri" w:eastAsia="宋体" w:cs="Times New Roman"/>
      <w:b/>
      <w:bCs/>
      <w:kern w:val="44"/>
      <w:sz w:val="44"/>
      <w:szCs w:val="44"/>
      <w:lang w:val="zh-CN"/>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Note Heading"/>
    <w:basedOn w:val="1"/>
    <w:next w:val="1"/>
    <w:link w:val="32"/>
    <w:autoRedefine/>
    <w:unhideWhenUsed/>
    <w:qFormat/>
    <w:uiPriority w:val="0"/>
    <w:pPr>
      <w:jc w:val="center"/>
    </w:pPr>
    <w:rPr>
      <w:rFonts w:ascii="Calibri" w:hAnsi="Calibri" w:eastAsia="宋体" w:cs="Times New Roman"/>
      <w:szCs w:val="24"/>
    </w:rPr>
  </w:style>
  <w:style w:type="paragraph" w:styleId="4">
    <w:name w:val="Body Text"/>
    <w:basedOn w:val="1"/>
    <w:link w:val="26"/>
    <w:autoRedefine/>
    <w:qFormat/>
    <w:uiPriority w:val="0"/>
    <w:pPr>
      <w:jc w:val="center"/>
    </w:pPr>
    <w:rPr>
      <w:rFonts w:ascii="Times New Roman" w:hAnsi="Times New Roman" w:eastAsia="宋体" w:cs="Times New Roman"/>
      <w:kern w:val="0"/>
      <w:sz w:val="20"/>
      <w:szCs w:val="24"/>
    </w:rPr>
  </w:style>
  <w:style w:type="paragraph" w:styleId="5">
    <w:name w:val="Plain Text"/>
    <w:basedOn w:val="1"/>
    <w:link w:val="19"/>
    <w:qFormat/>
    <w:uiPriority w:val="99"/>
    <w:rPr>
      <w:rFonts w:ascii="宋体" w:hAnsi="Courier New" w:eastAsia="宋体" w:cs="Times New Roman"/>
      <w:szCs w:val="24"/>
    </w:rPr>
  </w:style>
  <w:style w:type="paragraph" w:styleId="6">
    <w:name w:val="Balloon Text"/>
    <w:basedOn w:val="1"/>
    <w:link w:val="34"/>
    <w:semiHidden/>
    <w:unhideWhenUsed/>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uiPriority w:val="39"/>
    <w:pPr>
      <w:tabs>
        <w:tab w:val="right" w:leader="dot" w:pos="8296"/>
      </w:tabs>
    </w:pPr>
    <w:rPr>
      <w:rFonts w:ascii="宋体" w:hAnsi="宋体" w:eastAsia="宋体"/>
    </w:rPr>
  </w:style>
  <w:style w:type="paragraph" w:styleId="10">
    <w:name w:val="toc 2"/>
    <w:basedOn w:val="1"/>
    <w:next w:val="1"/>
    <w:autoRedefine/>
    <w:unhideWhenUsed/>
    <w:uiPriority w:val="39"/>
    <w:pPr>
      <w:ind w:left="420" w:leftChars="200"/>
    </w:pPr>
  </w:style>
  <w:style w:type="paragraph" w:styleId="11">
    <w:name w:val="Normal (Web)"/>
    <w:basedOn w:val="1"/>
    <w:unhideWhenUsed/>
    <w:qFormat/>
    <w:uiPriority w:val="0"/>
    <w:rPr>
      <w:rFonts w:ascii="Times New Roman" w:hAnsi="Times New Roman" w:eastAsia="宋体" w:cs="Times New Roman"/>
      <w:sz w:val="24"/>
      <w:szCs w:val="24"/>
    </w:rPr>
  </w:style>
  <w:style w:type="paragraph" w:styleId="12">
    <w:name w:val="Title"/>
    <w:basedOn w:val="5"/>
    <w:next w:val="1"/>
    <w:link w:val="23"/>
    <w:qFormat/>
    <w:uiPriority w:val="0"/>
    <w:pPr>
      <w:spacing w:beforeLines="50" w:afterLines="50" w:line="360" w:lineRule="auto"/>
      <w:jc w:val="center"/>
      <w:outlineLvl w:val="0"/>
    </w:pPr>
    <w:rPr>
      <w:rFonts w:eastAsia="Times New Roman"/>
      <w:b/>
      <w:kern w:val="10"/>
      <w:sz w:val="36"/>
      <w:szCs w:val="20"/>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uiPriority w:val="99"/>
    <w:rPr>
      <w:color w:val="0563C1" w:themeColor="hyperlink"/>
      <w:u w:val="single"/>
      <w14:textFill>
        <w14:solidFill>
          <w14:schemeClr w14:val="hlink"/>
        </w14:solidFill>
      </w14:textFill>
    </w:rPr>
  </w:style>
  <w:style w:type="character" w:customStyle="1" w:styleId="17">
    <w:name w:val="页眉 字符"/>
    <w:basedOn w:val="15"/>
    <w:link w:val="8"/>
    <w:qFormat/>
    <w:uiPriority w:val="99"/>
    <w:rPr>
      <w:sz w:val="18"/>
      <w:szCs w:val="18"/>
    </w:rPr>
  </w:style>
  <w:style w:type="character" w:customStyle="1" w:styleId="18">
    <w:name w:val="页脚 字符"/>
    <w:basedOn w:val="15"/>
    <w:link w:val="7"/>
    <w:qFormat/>
    <w:uiPriority w:val="99"/>
    <w:rPr>
      <w:sz w:val="18"/>
      <w:szCs w:val="18"/>
    </w:rPr>
  </w:style>
  <w:style w:type="character" w:customStyle="1" w:styleId="19">
    <w:name w:val="纯文本 字符"/>
    <w:basedOn w:val="15"/>
    <w:link w:val="5"/>
    <w:qFormat/>
    <w:uiPriority w:val="99"/>
    <w:rPr>
      <w:rFonts w:ascii="宋体" w:hAnsi="Courier New" w:eastAsia="宋体" w:cs="Times New Roman"/>
      <w:szCs w:val="24"/>
    </w:rPr>
  </w:style>
  <w:style w:type="character" w:customStyle="1" w:styleId="20">
    <w:name w:val="标题 1 字符"/>
    <w:basedOn w:val="15"/>
    <w:link w:val="2"/>
    <w:qFormat/>
    <w:uiPriority w:val="9"/>
    <w:rPr>
      <w:rFonts w:ascii="Calibri" w:hAnsi="Calibri" w:eastAsia="宋体" w:cs="Times New Roman"/>
      <w:b/>
      <w:bCs/>
      <w:kern w:val="44"/>
      <w:sz w:val="44"/>
      <w:szCs w:val="44"/>
      <w:lang w:val="zh-CN"/>
    </w:rPr>
  </w:style>
  <w:style w:type="character" w:customStyle="1" w:styleId="21">
    <w:name w:val="font11"/>
    <w:basedOn w:val="15"/>
    <w:autoRedefine/>
    <w:qFormat/>
    <w:uiPriority w:val="0"/>
    <w:rPr>
      <w:rFonts w:hint="eastAsia" w:ascii="宋体" w:hAnsi="宋体" w:eastAsia="宋体" w:cs="宋体"/>
      <w:color w:val="000000"/>
      <w:sz w:val="21"/>
      <w:szCs w:val="21"/>
      <w:u w:val="none"/>
    </w:rPr>
  </w:style>
  <w:style w:type="paragraph" w:customStyle="1" w:styleId="22">
    <w:name w:val="公文正文"/>
    <w:basedOn w:val="1"/>
    <w:autoRedefine/>
    <w:qFormat/>
    <w:uiPriority w:val="0"/>
    <w:pPr>
      <w:spacing w:line="560" w:lineRule="exact"/>
      <w:ind w:firstLine="723" w:firstLineChars="200"/>
    </w:pPr>
    <w:rPr>
      <w:rFonts w:ascii="Calibri" w:hAnsi="Calibri" w:eastAsia="仿宋_GB2312" w:cs="Times New Roman"/>
      <w:sz w:val="32"/>
      <w:szCs w:val="24"/>
    </w:rPr>
  </w:style>
  <w:style w:type="character" w:customStyle="1" w:styleId="23">
    <w:name w:val="标题 字符"/>
    <w:basedOn w:val="15"/>
    <w:link w:val="12"/>
    <w:qFormat/>
    <w:uiPriority w:val="0"/>
    <w:rPr>
      <w:rFonts w:ascii="宋体" w:hAnsi="Courier New" w:eastAsia="Times New Roman" w:cs="Times New Roman"/>
      <w:b/>
      <w:kern w:val="10"/>
      <w:sz w:val="36"/>
      <w:szCs w:val="20"/>
    </w:rPr>
  </w:style>
  <w:style w:type="character" w:customStyle="1" w:styleId="24">
    <w:name w:val="read1"/>
    <w:autoRedefine/>
    <w:qFormat/>
    <w:uiPriority w:val="0"/>
    <w:rPr>
      <w:rFonts w:hint="eastAsia" w:ascii="宋体" w:hAnsi="宋体" w:eastAsia="宋体"/>
      <w:color w:val="000000"/>
      <w:u w:val="none"/>
    </w:rPr>
  </w:style>
  <w:style w:type="paragraph" w:customStyle="1" w:styleId="25">
    <w:name w:val="Body 1"/>
    <w:basedOn w:val="1"/>
    <w:autoRedefine/>
    <w:uiPriority w:val="0"/>
    <w:pPr>
      <w:widowControl/>
      <w:spacing w:after="140" w:line="290" w:lineRule="auto"/>
      <w:ind w:left="680"/>
    </w:pPr>
    <w:rPr>
      <w:rFonts w:ascii="Arial" w:hAnsi="Arial" w:eastAsia="宋体" w:cs="Times New Roman"/>
      <w:kern w:val="20"/>
      <w:sz w:val="20"/>
      <w:szCs w:val="24"/>
      <w:lang w:val="en-GB" w:eastAsia="en-US"/>
    </w:rPr>
  </w:style>
  <w:style w:type="character" w:customStyle="1" w:styleId="26">
    <w:name w:val="正文文本 字符"/>
    <w:basedOn w:val="15"/>
    <w:link w:val="4"/>
    <w:qFormat/>
    <w:uiPriority w:val="0"/>
    <w:rPr>
      <w:rFonts w:ascii="Times New Roman" w:hAnsi="Times New Roman" w:eastAsia="宋体" w:cs="Times New Roman"/>
      <w:kern w:val="0"/>
      <w:sz w:val="20"/>
      <w:szCs w:val="24"/>
    </w:rPr>
  </w:style>
  <w:style w:type="paragraph" w:customStyle="1" w:styleId="27">
    <w:name w:val="005正文"/>
    <w:basedOn w:val="1"/>
    <w:link w:val="28"/>
    <w:autoRedefine/>
    <w:qFormat/>
    <w:uiPriority w:val="0"/>
    <w:pPr>
      <w:adjustRightInd w:val="0"/>
      <w:snapToGrid w:val="0"/>
      <w:spacing w:before="50" w:beforeLines="50" w:line="360" w:lineRule="auto"/>
      <w:ind w:firstLine="200" w:firstLineChars="200"/>
    </w:pPr>
    <w:rPr>
      <w:rFonts w:ascii="Times New Roman" w:hAnsi="Times New Roman" w:eastAsia="宋体" w:cs="Times New Roman"/>
      <w:sz w:val="24"/>
    </w:rPr>
  </w:style>
  <w:style w:type="character" w:customStyle="1" w:styleId="28">
    <w:name w:val="005正文 Char"/>
    <w:link w:val="27"/>
    <w:autoRedefine/>
    <w:qFormat/>
    <w:uiPriority w:val="0"/>
    <w:rPr>
      <w:rFonts w:ascii="Times New Roman" w:hAnsi="Times New Roman" w:eastAsia="宋体" w:cs="Times New Roman"/>
      <w:sz w:val="24"/>
    </w:rPr>
  </w:style>
  <w:style w:type="paragraph" w:customStyle="1" w:styleId="2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30">
    <w:name w:val="List Paragraph"/>
    <w:basedOn w:val="1"/>
    <w:autoRedefine/>
    <w:qFormat/>
    <w:uiPriority w:val="34"/>
    <w:pPr>
      <w:ind w:firstLine="420" w:firstLineChars="200"/>
    </w:pPr>
    <w:rPr>
      <w:rFonts w:ascii="Times New Roman" w:hAnsi="Times New Roman" w:eastAsia="宋体" w:cs="Times New Roman"/>
      <w:szCs w:val="24"/>
    </w:rPr>
  </w:style>
  <w:style w:type="paragraph" w:customStyle="1" w:styleId="3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 w:type="character" w:customStyle="1" w:styleId="32">
    <w:name w:val="注释标题 字符"/>
    <w:basedOn w:val="15"/>
    <w:link w:val="3"/>
    <w:uiPriority w:val="0"/>
    <w:rPr>
      <w:rFonts w:ascii="Calibri" w:hAnsi="Calibri" w:eastAsia="宋体" w:cs="Times New Roman"/>
      <w:szCs w:val="24"/>
    </w:rPr>
  </w:style>
  <w:style w:type="paragraph" w:customStyle="1" w:styleId="33">
    <w:name w:val="批注框文本 Char Char"/>
    <w:basedOn w:val="1"/>
    <w:autoRedefine/>
    <w:qFormat/>
    <w:uiPriority w:val="0"/>
    <w:rPr>
      <w:rFonts w:ascii="Times New Roman" w:hAnsi="Times New Roman" w:eastAsia="宋体" w:cs="Times New Roman"/>
      <w:sz w:val="18"/>
      <w:szCs w:val="20"/>
    </w:rPr>
  </w:style>
  <w:style w:type="character" w:customStyle="1" w:styleId="34">
    <w:name w:val="批注框文本 字符"/>
    <w:basedOn w:val="15"/>
    <w:link w:val="6"/>
    <w:semiHidden/>
    <w:uiPriority w:val="99"/>
    <w:rPr>
      <w:sz w:val="18"/>
      <w:szCs w:val="18"/>
    </w:rPr>
  </w:style>
  <w:style w:type="paragraph" w:customStyle="1" w:styleId="35">
    <w:name w:val="006备注"/>
    <w:autoRedefine/>
    <w:qFormat/>
    <w:uiPriority w:val="99"/>
    <w:pPr>
      <w:widowControl w:val="0"/>
      <w:ind w:firstLine="200" w:firstLineChars="200"/>
      <w:jc w:val="both"/>
    </w:pPr>
    <w:rPr>
      <w:rFonts w:ascii="Times New Roman" w:hAnsi="Times New Roman" w:eastAsia="宋体" w:cs="Arial"/>
      <w:bCs/>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D324D-5994-4308-BAC1-12685F8775C0}">
  <ds:schemaRefs/>
</ds:datastoreItem>
</file>

<file path=docProps/app.xml><?xml version="1.0" encoding="utf-8"?>
<Properties xmlns="http://schemas.openxmlformats.org/officeDocument/2006/extended-properties" xmlns:vt="http://schemas.openxmlformats.org/officeDocument/2006/docPropsVTypes">
  <Template>Normal</Template>
  <Pages>15</Pages>
  <Words>5713</Words>
  <Characters>6690</Characters>
  <Lines>56</Lines>
  <Paragraphs>15</Paragraphs>
  <TotalTime>226</TotalTime>
  <ScaleCrop>false</ScaleCrop>
  <LinksUpToDate>false</LinksUpToDate>
  <CharactersWithSpaces>6744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2024-05-06T02:07:00Z</dcterms:created>
  <dc:creator>3126157515@qq.com</dc:creator>
  <cp:lastModifiedBy>阿杜</cp:lastModifiedBy>
  <dcterms:modified xsi:type="dcterms:W3CDTF">2025-03-20T00:59:35Z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7C2A182892124D5FAF8194CC5441511B_13</vt:lpwstr>
  </property>
</Properties>
</file>